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630BC">
      <w:pPr>
        <w:pStyle w:val="1"/>
      </w:pPr>
      <w:bookmarkStart w:id="0" w:name="_GoBack"/>
      <w:bookmarkEnd w:id="0"/>
      <w:r>
        <w:t xml:space="preserve"> </w:t>
      </w:r>
      <w:r>
        <w:rPr>
          <w:rtl/>
        </w:rPr>
        <w:t>חוק עזר לגליל התחתון (הוצאת אשפה), תשל"ח1977-</w:t>
      </w:r>
    </w:p>
    <w:p w:rsidR="00000000" w:rsidRDefault="00D630BC">
      <w:pPr>
        <w:pStyle w:val="a0"/>
        <w:ind w:left="2177" w:right="284"/>
      </w:pPr>
      <w:r>
        <w:rPr>
          <w:rtl/>
        </w:rPr>
        <w:t>פורסם:</w:t>
      </w:r>
      <w:r>
        <w:t xml:space="preserve"> </w:t>
      </w:r>
      <w:r>
        <w:tab/>
      </w:r>
      <w:r>
        <w:rPr>
          <w:rtl/>
        </w:rPr>
        <w:t xml:space="preserve"> ק"ת 3773, </w:t>
      </w:r>
      <w:r>
        <w:rPr>
          <w:rtl/>
        </w:rPr>
        <w:tab/>
        <w:t xml:space="preserve">תשל"ח </w:t>
      </w:r>
      <w:r>
        <w:t>)</w:t>
      </w:r>
      <w:r>
        <w:rPr>
          <w:rtl/>
        </w:rPr>
        <w:t>30.10.1977</w:t>
      </w:r>
      <w:r>
        <w:t>(</w:t>
      </w:r>
      <w:r>
        <w:rPr>
          <w:rtl/>
        </w:rPr>
        <w:t>,</w:t>
      </w:r>
      <w:r>
        <w:rPr>
          <w:rtl/>
        </w:rPr>
        <w:tab/>
        <w:t xml:space="preserve"> עמ' 160</w:t>
      </w:r>
    </w:p>
    <w:p w:rsidR="00000000" w:rsidRDefault="00D630BC">
      <w:pPr>
        <w:pStyle w:val="a6"/>
      </w:pPr>
      <w:r>
        <w:rPr>
          <w:rtl/>
        </w:rPr>
        <w:t>בתוקף סמכותה לפי סעיפים 22, 23 ו24- לפקודת המועצות המקומיות, מתקינה המועצה האזורית הגליל התחתון חוק עזר זה:</w:t>
      </w:r>
    </w:p>
    <w:p w:rsidR="00000000" w:rsidRDefault="00D630BC">
      <w:pPr>
        <w:pStyle w:val="af0"/>
        <w:ind w:left="618" w:right="0"/>
      </w:pPr>
      <w:r>
        <w:rPr>
          <w:rtl/>
        </w:rPr>
        <w:t>הגדרות</w:t>
      </w:r>
    </w:p>
    <w:p w:rsidR="00000000" w:rsidRDefault="00D630BC">
      <w:pPr>
        <w:pStyle w:val="af1"/>
      </w:pPr>
      <w:r>
        <w:rPr>
          <w:bCs/>
          <w:rtl/>
        </w:rPr>
        <w:t xml:space="preserve">1. </w:t>
      </w:r>
      <w:r>
        <w:rPr>
          <w:bCs/>
          <w:rtl/>
        </w:rPr>
        <w:tab/>
      </w:r>
      <w:r>
        <w:rPr>
          <w:bCs/>
          <w:rtl/>
        </w:rPr>
        <w:tab/>
      </w:r>
      <w:r>
        <w:rPr>
          <w:rtl/>
        </w:rPr>
        <w:t xml:space="preserve">בחוק עזר זה </w:t>
      </w:r>
      <w:r>
        <w:t>-</w:t>
      </w:r>
    </w:p>
    <w:p w:rsidR="00000000" w:rsidRDefault="00D630BC">
      <w:pPr>
        <w:pStyle w:val="a4"/>
      </w:pPr>
      <w:r>
        <w:rPr>
          <w:bCs/>
          <w:rtl/>
        </w:rPr>
        <w:t xml:space="preserve">"המועצה" </w:t>
      </w:r>
      <w:r>
        <w:rPr>
          <w:bCs/>
        </w:rPr>
        <w:t xml:space="preserve"> -</w:t>
      </w:r>
      <w:r>
        <w:rPr>
          <w:rtl/>
        </w:rPr>
        <w:t>המועצה האזורית</w:t>
      </w:r>
      <w:r>
        <w:rPr>
          <w:rtl/>
        </w:rPr>
        <w:t xml:space="preserve"> הגליל התחתון;</w:t>
      </w:r>
    </w:p>
    <w:p w:rsidR="00000000" w:rsidRDefault="00D630BC">
      <w:pPr>
        <w:pStyle w:val="a4"/>
      </w:pPr>
      <w:r>
        <w:rPr>
          <w:bCs/>
          <w:rtl/>
        </w:rPr>
        <w:t xml:space="preserve">"ראש המועצה" </w:t>
      </w:r>
      <w:r>
        <w:rPr>
          <w:bCs/>
        </w:rPr>
        <w:t xml:space="preserve"> -</w:t>
      </w:r>
      <w:r>
        <w:rPr>
          <w:rtl/>
        </w:rPr>
        <w:t>לרבות מי שראש המועצה העביר אליו את סמכויותיו בכתב לפי חוק עזר זה, כולן או מקצתן;</w:t>
      </w:r>
    </w:p>
    <w:p w:rsidR="00000000" w:rsidRDefault="00D630BC">
      <w:pPr>
        <w:pStyle w:val="a4"/>
      </w:pPr>
      <w:r>
        <w:rPr>
          <w:bCs/>
          <w:rtl/>
        </w:rPr>
        <w:t xml:space="preserve">"המפקח" </w:t>
      </w:r>
      <w:r>
        <w:rPr>
          <w:bCs/>
        </w:rPr>
        <w:t xml:space="preserve"> -</w:t>
      </w:r>
      <w:r>
        <w:rPr>
          <w:rtl/>
        </w:rPr>
        <w:t>אדם שהמועצה מינתה אותו להיות מפקח לענין חוק עזר זה, וכן אדם שהמפקח העביר אליו בכתב את סמכויותיו לפי חוק עזר זה, כולן או מקצתן;</w:t>
      </w:r>
    </w:p>
    <w:p w:rsidR="00000000" w:rsidRDefault="00D630BC">
      <w:pPr>
        <w:pStyle w:val="a4"/>
      </w:pPr>
      <w:r>
        <w:rPr>
          <w:bCs/>
          <w:rtl/>
        </w:rPr>
        <w:t xml:space="preserve">"בעל" </w:t>
      </w:r>
      <w:r>
        <w:rPr>
          <w:bCs/>
        </w:rPr>
        <w:t xml:space="preserve"> -</w:t>
      </w:r>
      <w:r>
        <w:rPr>
          <w:rtl/>
        </w:rPr>
        <w:t>אדם המקבל, או הזכאי לקבל, הכנסה מנכסים או שהיה מקבל אילו היו הנכסים נותנים הכנסה, בין בזכותו ובין כבא-כוח, כסוכן, כנאמן, בין שהוא הבעל הרשום של הנכסים ובין שאיננו הבעל הרשום, ולרבות שוכר או שוכר-משנה ששכר נכסים לתקופה של למעלה משלוש שנים;</w:t>
      </w:r>
    </w:p>
    <w:p w:rsidR="00000000" w:rsidRDefault="00D630BC">
      <w:pPr>
        <w:pStyle w:val="a4"/>
      </w:pPr>
      <w:r>
        <w:rPr>
          <w:bCs/>
          <w:rtl/>
        </w:rPr>
        <w:t xml:space="preserve">"מחזיק" </w:t>
      </w:r>
      <w:r>
        <w:rPr>
          <w:bCs/>
        </w:rPr>
        <w:t xml:space="preserve"> -</w:t>
      </w:r>
      <w:r>
        <w:rPr>
          <w:rtl/>
        </w:rPr>
        <w:t>אדם המח</w:t>
      </w:r>
      <w:r>
        <w:rPr>
          <w:rtl/>
        </w:rPr>
        <w:t>זיק למעשה בנכסים כבעל או כשוכר או בכל אופן אחר, למעט אדם הגר בבית מלון או בפנסיון;</w:t>
      </w:r>
    </w:p>
    <w:p w:rsidR="00000000" w:rsidRDefault="00D630BC">
      <w:pPr>
        <w:pStyle w:val="a4"/>
      </w:pPr>
      <w:r>
        <w:rPr>
          <w:bCs/>
          <w:rtl/>
        </w:rPr>
        <w:t xml:space="preserve">"בנין" </w:t>
      </w:r>
      <w:r>
        <w:rPr>
          <w:bCs/>
        </w:rPr>
        <w:t xml:space="preserve"> -</w:t>
      </w:r>
      <w:r>
        <w:rPr>
          <w:rtl/>
        </w:rPr>
        <w:t>בית, מבנה, צריף, מחסן, צריפון, בדון, פחון, אוהל, או חלק מהם, לרבות הקרקע שמשתמשים בה או שמחזיקים בה יחד עם הבנין כגינה, כחצר או לצורך אחר ולמעט בית מלאכה, אורווה או</w:t>
      </w:r>
      <w:r>
        <w:rPr>
          <w:rtl/>
        </w:rPr>
        <w:t xml:space="preserve"> קרקע חקלאית;</w:t>
      </w:r>
    </w:p>
    <w:p w:rsidR="00000000" w:rsidRDefault="00D630BC">
      <w:pPr>
        <w:pStyle w:val="a4"/>
      </w:pPr>
      <w:r>
        <w:rPr>
          <w:bCs/>
          <w:rtl/>
        </w:rPr>
        <w:t xml:space="preserve">"בית מלאכה" </w:t>
      </w:r>
      <w:r>
        <w:rPr>
          <w:bCs/>
        </w:rPr>
        <w:t xml:space="preserve"> -</w:t>
      </w:r>
      <w:r>
        <w:rPr>
          <w:rtl/>
        </w:rPr>
        <w:t>לרבות כל מקום שעושים בו מלאכה ועובדים בו למעלה מארבעה אנשים ולרבות בית חרושת, מוסך וכל עסק או מחסן המשמש יחד עם בית המלאכה;</w:t>
      </w:r>
    </w:p>
    <w:p w:rsidR="00000000" w:rsidRDefault="00D630BC">
      <w:pPr>
        <w:pStyle w:val="a4"/>
      </w:pPr>
      <w:r>
        <w:rPr>
          <w:bCs/>
          <w:rtl/>
        </w:rPr>
        <w:t xml:space="preserve">"אורווה" </w:t>
      </w:r>
      <w:r>
        <w:rPr>
          <w:bCs/>
        </w:rPr>
        <w:t xml:space="preserve"> -</w:t>
      </w:r>
      <w:r>
        <w:rPr>
          <w:rtl/>
        </w:rPr>
        <w:t>לרבות רפת, לול, מכלאה, דיר וכן כל מקום שמשתמשים בו או שמחזיקים בו יחד עם האורווה;</w:t>
      </w:r>
    </w:p>
    <w:p w:rsidR="00000000" w:rsidRDefault="00D630BC">
      <w:pPr>
        <w:pStyle w:val="a4"/>
      </w:pPr>
      <w:r>
        <w:rPr>
          <w:bCs/>
          <w:rtl/>
        </w:rPr>
        <w:t>"קרקע חקלאי</w:t>
      </w:r>
      <w:r>
        <w:rPr>
          <w:bCs/>
          <w:rtl/>
        </w:rPr>
        <w:t xml:space="preserve">ת" </w:t>
      </w:r>
      <w:r>
        <w:rPr>
          <w:bCs/>
        </w:rPr>
        <w:t xml:space="preserve"> -</w:t>
      </w:r>
      <w:r>
        <w:rPr>
          <w:rtl/>
        </w:rPr>
        <w:t>שטחים הדרושים, המשמשים או העשויים לשמש לייצור חקלאי, לעיבוד חקלאי או לגידול בעלי חיים, לרבות שדה בור או מעובד, יער, חורשה, גינה או שטחים פתוחים;</w:t>
      </w:r>
    </w:p>
    <w:p w:rsidR="00000000" w:rsidRDefault="00D630BC">
      <w:pPr>
        <w:pStyle w:val="a4"/>
      </w:pPr>
      <w:r>
        <w:rPr>
          <w:bCs/>
          <w:rtl/>
        </w:rPr>
        <w:t xml:space="preserve">"אשפה" </w:t>
      </w:r>
      <w:r>
        <w:rPr>
          <w:bCs/>
        </w:rPr>
        <w:t xml:space="preserve"> -</w:t>
      </w:r>
      <w:r>
        <w:rPr>
          <w:rtl/>
        </w:rPr>
        <w:t xml:space="preserve">לרבות שיירי מטבח, ניירות, בקבוקים, שברי זכוכית, ענפים, עלים, אפר, פירות או ירקות ופסלתם, קליפות, </w:t>
      </w:r>
      <w:r>
        <w:rPr>
          <w:rtl/>
        </w:rPr>
        <w:t>קופסאות, סמרטוטים, ודברים אחרים העלולים לגרום לכלוך או אי נקיון או ריחות רעים, למעט זבל, פסולת וחמרי בנין;</w:t>
      </w:r>
    </w:p>
    <w:p w:rsidR="00000000" w:rsidRDefault="00D630BC">
      <w:pPr>
        <w:pStyle w:val="a4"/>
      </w:pPr>
      <w:r>
        <w:rPr>
          <w:bCs/>
          <w:rtl/>
        </w:rPr>
        <w:t xml:space="preserve">"זבל" </w:t>
      </w:r>
      <w:r>
        <w:rPr>
          <w:bCs/>
        </w:rPr>
        <w:t xml:space="preserve"> -</w:t>
      </w:r>
      <w:r>
        <w:rPr>
          <w:rtl/>
        </w:rPr>
        <w:t>גללי בהמה ושאר אשפה של האורווה;</w:t>
      </w:r>
    </w:p>
    <w:p w:rsidR="00000000" w:rsidRDefault="00D630BC">
      <w:pPr>
        <w:pStyle w:val="a4"/>
      </w:pPr>
      <w:r>
        <w:rPr>
          <w:bCs/>
          <w:rtl/>
        </w:rPr>
        <w:t xml:space="preserve">"פסולת" </w:t>
      </w:r>
      <w:r>
        <w:rPr>
          <w:bCs/>
        </w:rPr>
        <w:t xml:space="preserve"> -</w:t>
      </w:r>
      <w:r>
        <w:rPr>
          <w:rtl/>
        </w:rPr>
        <w:t>פסולת הנוצרת בבית מלאכה ואינה אשפה או זבל.</w:t>
      </w:r>
    </w:p>
    <w:p w:rsidR="00000000" w:rsidRDefault="00D630BC">
      <w:pPr>
        <w:pStyle w:val="af0"/>
        <w:ind w:left="618" w:right="0"/>
      </w:pPr>
      <w:r>
        <w:rPr>
          <w:rtl/>
        </w:rPr>
        <w:t>כלי אשפה</w:t>
      </w:r>
    </w:p>
    <w:p w:rsidR="00000000" w:rsidRDefault="00D630BC">
      <w:pPr>
        <w:pStyle w:val="af1"/>
      </w:pPr>
      <w:r>
        <w:rPr>
          <w:bCs/>
          <w:rtl/>
        </w:rPr>
        <w:t xml:space="preserve">2. </w:t>
      </w:r>
      <w:r>
        <w:rPr>
          <w:bCs/>
          <w:rtl/>
        </w:rPr>
        <w:tab/>
      </w:r>
      <w:r>
        <w:rPr>
          <w:bCs/>
          <w:rtl/>
        </w:rPr>
        <w:tab/>
      </w:r>
      <w:r>
        <w:t>)</w:t>
      </w:r>
      <w:r>
        <w:rPr>
          <w:rtl/>
        </w:rPr>
        <w:t>א</w:t>
      </w:r>
      <w:r>
        <w:t>(</w:t>
      </w:r>
      <w:r>
        <w:rPr>
          <w:rtl/>
        </w:rPr>
        <w:t xml:space="preserve"> בעל בנין חייב להתקין, בבנין או בחצרו, </w:t>
      </w:r>
      <w:r>
        <w:rPr>
          <w:rtl/>
        </w:rPr>
        <w:t>כלי אשפה לפי הוראות המפקח בנוגע לצורה, לגודל, לחומר, למספר, למקום ולשאר התנאים שיקבע המפקח, וחייב הוא להחזיקם במצב תקין, לתקנם או להחליפם באחרים, הכל לפי דרישה בכתב מאת המפקח ובתוך הזמן שיקבע.</w:t>
      </w:r>
    </w:p>
    <w:p w:rsidR="00000000" w:rsidRDefault="00D630BC">
      <w:pPr>
        <w:pStyle w:val="12"/>
      </w:pPr>
      <w:r>
        <w:t>)</w:t>
      </w:r>
      <w:r>
        <w:rPr>
          <w:rtl/>
        </w:rPr>
        <w:t>ב</w:t>
      </w:r>
      <w:r>
        <w:t>(</w:t>
      </w:r>
      <w:r>
        <w:rPr>
          <w:rtl/>
        </w:rPr>
        <w:t xml:space="preserve"> לא ישים אדם אשפה אלא לתוך כלי אשפה שהותקנו כאמור ולא ישים ו</w:t>
      </w:r>
      <w:r>
        <w:rPr>
          <w:rtl/>
        </w:rPr>
        <w:t>לא ישאיר אשפה מחוץ לכלי האשפה.</w:t>
      </w:r>
    </w:p>
    <w:p w:rsidR="00000000" w:rsidRDefault="00D630BC">
      <w:pPr>
        <w:pStyle w:val="12"/>
      </w:pPr>
      <w:r>
        <w:t>)</w:t>
      </w:r>
      <w:r>
        <w:rPr>
          <w:rtl/>
        </w:rPr>
        <w:t>ג</w:t>
      </w:r>
      <w:r>
        <w:t>(</w:t>
      </w:r>
      <w:r>
        <w:rPr>
          <w:rtl/>
        </w:rPr>
        <w:t xml:space="preserve"> לא ישים אדם לתוך כלי אשפה זבל, פסולת או חמרי בנין.</w:t>
      </w:r>
    </w:p>
    <w:p w:rsidR="00000000" w:rsidRDefault="00D630BC">
      <w:pPr>
        <w:pStyle w:val="af0"/>
        <w:ind w:left="618" w:right="0"/>
      </w:pPr>
      <w:r>
        <w:rPr>
          <w:rtl/>
        </w:rPr>
        <w:t>כלי קיבול</w:t>
      </w:r>
    </w:p>
    <w:p w:rsidR="00000000" w:rsidRDefault="00D630BC">
      <w:pPr>
        <w:pStyle w:val="af1"/>
      </w:pPr>
      <w:r>
        <w:rPr>
          <w:bCs/>
          <w:rtl/>
        </w:rPr>
        <w:t xml:space="preserve">3. </w:t>
      </w:r>
      <w:r>
        <w:rPr>
          <w:bCs/>
          <w:rtl/>
        </w:rPr>
        <w:tab/>
      </w:r>
      <w:r>
        <w:rPr>
          <w:bCs/>
          <w:rtl/>
        </w:rPr>
        <w:tab/>
      </w:r>
      <w:r>
        <w:t>)</w:t>
      </w:r>
      <w:r>
        <w:rPr>
          <w:rtl/>
        </w:rPr>
        <w:t>א</w:t>
      </w:r>
      <w:r>
        <w:t>(</w:t>
      </w:r>
      <w:r>
        <w:rPr>
          <w:rtl/>
        </w:rPr>
        <w:t xml:space="preserve"> המחזיק באורווה או בבית מלאכה חייב להתקין כלי קיבול לזבל או לפסולת, לפי הוראות המפקח בנוגע לצורה, לגודל, למספר, למקום ולשאר התנאים שיקבע המפקח וחייב הוא</w:t>
      </w:r>
      <w:r>
        <w:rPr>
          <w:rtl/>
        </w:rPr>
        <w:t xml:space="preserve"> להחזיקם במצב תקין, לתקנם או להחליפם באחרים, הכל לפי דרישה בכתב מאת המפקח ובתוך הזמן שיקבע.</w:t>
      </w:r>
    </w:p>
    <w:p w:rsidR="00000000" w:rsidRDefault="00D630BC">
      <w:pPr>
        <w:pStyle w:val="12"/>
      </w:pPr>
      <w:r>
        <w:t>)</w:t>
      </w:r>
      <w:r>
        <w:rPr>
          <w:rtl/>
        </w:rPr>
        <w:t>ב</w:t>
      </w:r>
      <w:r>
        <w:t>(</w:t>
      </w:r>
      <w:r>
        <w:rPr>
          <w:rtl/>
        </w:rPr>
        <w:t xml:space="preserve"> לא ישים אדם זבל או פסולת אלא לתוך כלי קיבול שהותקנו כאמור ולא ישים ולא ישאיר זבל או פסולת מחוץ לאותם כלי קיבול.</w:t>
      </w:r>
    </w:p>
    <w:p w:rsidR="00000000" w:rsidRDefault="00D630BC">
      <w:pPr>
        <w:pStyle w:val="12"/>
      </w:pPr>
      <w:r>
        <w:t>)</w:t>
      </w:r>
      <w:r>
        <w:rPr>
          <w:rtl/>
        </w:rPr>
        <w:t>ג</w:t>
      </w:r>
      <w:r>
        <w:t>(</w:t>
      </w:r>
      <w:r>
        <w:rPr>
          <w:rtl/>
        </w:rPr>
        <w:t xml:space="preserve"> לא ישים אדם לתוך כלי קיבול, אשפה או חמרי בני</w:t>
      </w:r>
      <w:r>
        <w:rPr>
          <w:rtl/>
        </w:rPr>
        <w:t>ן.</w:t>
      </w:r>
    </w:p>
    <w:p w:rsidR="00000000" w:rsidRDefault="00D630BC">
      <w:pPr>
        <w:pStyle w:val="af0"/>
        <w:ind w:left="618" w:right="0"/>
      </w:pPr>
      <w:r>
        <w:rPr>
          <w:rtl/>
        </w:rPr>
        <w:t>אשפה בקרקע חקלאית</w:t>
      </w:r>
    </w:p>
    <w:p w:rsidR="00000000" w:rsidRDefault="00D630BC">
      <w:pPr>
        <w:pStyle w:val="af1"/>
      </w:pPr>
      <w:r>
        <w:rPr>
          <w:bCs/>
          <w:rtl/>
        </w:rPr>
        <w:t xml:space="preserve">4. </w:t>
      </w:r>
      <w:r>
        <w:rPr>
          <w:bCs/>
          <w:rtl/>
        </w:rPr>
        <w:tab/>
      </w:r>
      <w:r>
        <w:rPr>
          <w:bCs/>
          <w:rtl/>
        </w:rPr>
        <w:tab/>
      </w:r>
      <w:r>
        <w:t>)</w:t>
      </w:r>
      <w:r>
        <w:rPr>
          <w:rtl/>
        </w:rPr>
        <w:t>א</w:t>
      </w:r>
      <w:r>
        <w:t>(</w:t>
      </w:r>
      <w:r>
        <w:rPr>
          <w:rtl/>
        </w:rPr>
        <w:t xml:space="preserve"> המועצה תתקין כלי אשפה או כלי קיבול בקרקע חקלאית, בהתאם לשיקול דעתו של ראש המועצה.</w:t>
      </w:r>
    </w:p>
    <w:p w:rsidR="00000000" w:rsidRDefault="00D630BC">
      <w:pPr>
        <w:pStyle w:val="12"/>
      </w:pPr>
      <w:r>
        <w:t>)</w:t>
      </w:r>
      <w:r>
        <w:rPr>
          <w:rtl/>
        </w:rPr>
        <w:t>ב</w:t>
      </w:r>
      <w:r>
        <w:t>(</w:t>
      </w:r>
      <w:r>
        <w:rPr>
          <w:rtl/>
        </w:rPr>
        <w:t xml:space="preserve"> לא ישפוך אדם ולא ישים אשפה או פסולת בקרקע חקלאית, אלא לתוך כלי אשפה או כלי קיבול שהותקנו כאמור.</w:t>
      </w:r>
    </w:p>
    <w:p w:rsidR="00000000" w:rsidRDefault="00D630BC">
      <w:pPr>
        <w:pStyle w:val="12"/>
      </w:pPr>
      <w:r>
        <w:t>)</w:t>
      </w:r>
      <w:r>
        <w:rPr>
          <w:rtl/>
        </w:rPr>
        <w:t>ג</w:t>
      </w:r>
      <w:r>
        <w:t>(</w:t>
      </w:r>
      <w:r>
        <w:rPr>
          <w:rtl/>
        </w:rPr>
        <w:t xml:space="preserve"> לא ישליך אדם ולא יזרוק אשפה או פסולת מכל</w:t>
      </w:r>
      <w:r>
        <w:rPr>
          <w:rtl/>
        </w:rPr>
        <w:t xml:space="preserve"> סוג בקרקע חקלאית, גם אם לא הותקנו בה כלי אשפה או כלי קיבול בידי המועצה, אלא לפי היתר בכתב מאת ראש המועצה.</w:t>
      </w:r>
    </w:p>
    <w:p w:rsidR="00000000" w:rsidRDefault="00D630BC">
      <w:pPr>
        <w:pStyle w:val="12"/>
      </w:pPr>
      <w:r>
        <w:t>)</w:t>
      </w:r>
      <w:r>
        <w:rPr>
          <w:rtl/>
        </w:rPr>
        <w:t>ד</w:t>
      </w:r>
      <w:r>
        <w:t>(</w:t>
      </w:r>
      <w:r>
        <w:rPr>
          <w:rtl/>
        </w:rPr>
        <w:t xml:space="preserve"> לא ישרוף אדם אשפה, זבל או פסולת בקרקע חקלאית.</w:t>
      </w:r>
    </w:p>
    <w:p w:rsidR="00000000" w:rsidRDefault="00D630BC">
      <w:pPr>
        <w:pStyle w:val="af0"/>
        <w:ind w:left="618" w:right="0"/>
      </w:pPr>
      <w:r>
        <w:rPr>
          <w:rtl/>
        </w:rPr>
        <w:t>העברת אשפה</w:t>
      </w:r>
    </w:p>
    <w:p w:rsidR="00000000" w:rsidRDefault="00D630BC">
      <w:pPr>
        <w:pStyle w:val="af1"/>
      </w:pPr>
      <w:r>
        <w:rPr>
          <w:bCs/>
          <w:rtl/>
        </w:rPr>
        <w:lastRenderedPageBreak/>
        <w:t xml:space="preserve">5. </w:t>
      </w:r>
      <w:r>
        <w:rPr>
          <w:bCs/>
          <w:rtl/>
        </w:rPr>
        <w:tab/>
      </w:r>
      <w:r>
        <w:rPr>
          <w:bCs/>
          <w:rtl/>
        </w:rPr>
        <w:tab/>
      </w:r>
      <w:r>
        <w:t>)</w:t>
      </w:r>
      <w:r>
        <w:rPr>
          <w:rtl/>
        </w:rPr>
        <w:t>א</w:t>
      </w:r>
      <w:r>
        <w:t>(</w:t>
      </w:r>
      <w:r>
        <w:rPr>
          <w:rtl/>
        </w:rPr>
        <w:t xml:space="preserve"> לא יוביל אדם, פרט למפקח, ולא יעביר בשום דרך אשפה, זבל או פסולת מבנין, מאורווה א</w:t>
      </w:r>
      <w:r>
        <w:rPr>
          <w:rtl/>
        </w:rPr>
        <w:t>ו מבית מלאכה לכל מקום אחר אלא לפי היתר בכתב מאת ראש המועצה.</w:t>
      </w:r>
    </w:p>
    <w:p w:rsidR="00000000" w:rsidRDefault="00D630BC">
      <w:pPr>
        <w:pStyle w:val="12"/>
      </w:pPr>
      <w:r>
        <w:t>)</w:t>
      </w:r>
      <w:r>
        <w:rPr>
          <w:rtl/>
        </w:rPr>
        <w:t>ב</w:t>
      </w:r>
      <w:r>
        <w:t>(</w:t>
      </w:r>
      <w:r>
        <w:rPr>
          <w:rtl/>
        </w:rPr>
        <w:t xml:space="preserve"> לא ישליך אדם ולא יזרוק, אשפה, זבל או פסולת מכל סוג בתחום המועצה אלא לפי היתר בכתב מאת ראש המועצה.</w:t>
      </w:r>
    </w:p>
    <w:p w:rsidR="00000000" w:rsidRDefault="00D630BC">
      <w:pPr>
        <w:pStyle w:val="12"/>
      </w:pPr>
      <w:r>
        <w:t>)</w:t>
      </w:r>
      <w:r>
        <w:rPr>
          <w:rtl/>
        </w:rPr>
        <w:t>ג</w:t>
      </w:r>
      <w:r>
        <w:t>(</w:t>
      </w:r>
      <w:r>
        <w:rPr>
          <w:rtl/>
        </w:rPr>
        <w:t xml:space="preserve"> לא ישרוף אדם אשפה, זבל או פסולת מכל סוג בתחום המועצה אלא לפי היתר בכתב מאת ראש המועצה.</w:t>
      </w:r>
    </w:p>
    <w:p w:rsidR="00000000" w:rsidRDefault="00D630BC">
      <w:pPr>
        <w:pStyle w:val="af0"/>
        <w:ind w:left="618" w:right="0"/>
      </w:pPr>
      <w:r>
        <w:rPr>
          <w:rtl/>
        </w:rPr>
        <w:t>מתן</w:t>
      </w:r>
      <w:r>
        <w:rPr>
          <w:rtl/>
        </w:rPr>
        <w:t xml:space="preserve"> היתר</w:t>
      </w:r>
    </w:p>
    <w:p w:rsidR="00000000" w:rsidRDefault="00D630BC">
      <w:pPr>
        <w:pStyle w:val="af1"/>
      </w:pPr>
      <w:r>
        <w:rPr>
          <w:bCs/>
          <w:rtl/>
        </w:rPr>
        <w:t xml:space="preserve">6. </w:t>
      </w:r>
      <w:r>
        <w:rPr>
          <w:bCs/>
          <w:rtl/>
        </w:rPr>
        <w:tab/>
      </w:r>
      <w:r>
        <w:rPr>
          <w:bCs/>
          <w:rtl/>
        </w:rPr>
        <w:tab/>
      </w:r>
      <w:r>
        <w:t>)</w:t>
      </w:r>
      <w:r>
        <w:rPr>
          <w:rtl/>
        </w:rPr>
        <w:t>א</w:t>
      </w:r>
      <w:r>
        <w:t>(</w:t>
      </w:r>
      <w:r>
        <w:rPr>
          <w:rtl/>
        </w:rPr>
        <w:t xml:space="preserve"> ראש המועצה רשאי לתת היתרים לפי סעיפים 4 או 5, לסרב לתתם, לבטלם, להתלותם או לכלול בהם תנאים, להוסיף עליהם ולשנותם.</w:t>
      </w:r>
    </w:p>
    <w:p w:rsidR="00000000" w:rsidRDefault="00D630BC">
      <w:pPr>
        <w:pStyle w:val="12"/>
      </w:pPr>
      <w:r>
        <w:t>)</w:t>
      </w:r>
      <w:r>
        <w:rPr>
          <w:rtl/>
        </w:rPr>
        <w:t>ב</w:t>
      </w:r>
      <w:r>
        <w:t>(</w:t>
      </w:r>
      <w:r>
        <w:rPr>
          <w:rtl/>
        </w:rPr>
        <w:t xml:space="preserve"> בכל היתר שניתן לפי סעיפים 4 או 5 ייקבעו </w:t>
      </w:r>
      <w:r>
        <w:t>-</w:t>
      </w:r>
    </w:p>
    <w:p w:rsidR="00000000" w:rsidRDefault="00D630BC">
      <w:pPr>
        <w:pStyle w:val="2"/>
        <w:ind w:left="998" w:right="0"/>
      </w:pPr>
      <w:r>
        <w:t>)</w:t>
      </w:r>
      <w:r>
        <w:rPr>
          <w:rtl/>
        </w:rPr>
        <w:t>1</w:t>
      </w:r>
      <w:r>
        <w:t>(</w:t>
      </w:r>
      <w:r>
        <w:rPr>
          <w:rtl/>
        </w:rPr>
        <w:t xml:space="preserve"> השעות שבהן הותר להוציא או להוביל אשפה, זבל או פסולת;</w:t>
      </w:r>
    </w:p>
    <w:p w:rsidR="00000000" w:rsidRDefault="00D630BC">
      <w:pPr>
        <w:pStyle w:val="2"/>
        <w:ind w:left="998" w:right="0"/>
      </w:pPr>
      <w:r>
        <w:t>)</w:t>
      </w:r>
      <w:r>
        <w:rPr>
          <w:rtl/>
        </w:rPr>
        <w:t>2</w:t>
      </w:r>
      <w:r>
        <w:t>(</w:t>
      </w:r>
      <w:r>
        <w:rPr>
          <w:rtl/>
        </w:rPr>
        <w:t xml:space="preserve"> המקומות שאליהם יובלו</w:t>
      </w:r>
      <w:r>
        <w:rPr>
          <w:rtl/>
        </w:rPr>
        <w:t xml:space="preserve"> ויורקו או יישרפו אשפה, זבל או פסולת;</w:t>
      </w:r>
    </w:p>
    <w:p w:rsidR="00000000" w:rsidRDefault="00D630BC">
      <w:pPr>
        <w:pStyle w:val="2"/>
        <w:ind w:left="998" w:right="0"/>
      </w:pPr>
      <w:r>
        <w:t>)</w:t>
      </w:r>
      <w:r>
        <w:rPr>
          <w:rtl/>
        </w:rPr>
        <w:t>3</w:t>
      </w:r>
      <w:r>
        <w:t>(</w:t>
      </w:r>
      <w:r>
        <w:rPr>
          <w:rtl/>
        </w:rPr>
        <w:t xml:space="preserve"> דרכי ההוצאה וההובלה וכן אמצעי ההובלה, צורתם, גדלם ומבנם;</w:t>
      </w:r>
    </w:p>
    <w:p w:rsidR="00000000" w:rsidRDefault="00D630BC">
      <w:pPr>
        <w:pStyle w:val="2"/>
        <w:ind w:left="998" w:right="0"/>
      </w:pPr>
      <w:r>
        <w:t>)</w:t>
      </w:r>
      <w:r>
        <w:rPr>
          <w:rtl/>
        </w:rPr>
        <w:t>4</w:t>
      </w:r>
      <w:r>
        <w:t>(</w:t>
      </w:r>
      <w:r>
        <w:rPr>
          <w:rtl/>
        </w:rPr>
        <w:t xml:space="preserve"> תקופת ההיתר.</w:t>
      </w:r>
    </w:p>
    <w:p w:rsidR="00000000" w:rsidRDefault="00D630BC">
      <w:pPr>
        <w:pStyle w:val="af0"/>
        <w:ind w:left="618" w:right="0"/>
      </w:pPr>
      <w:r>
        <w:rPr>
          <w:rtl/>
        </w:rPr>
        <w:t>זכות כניסה לפועלי המועצה</w:t>
      </w:r>
    </w:p>
    <w:p w:rsidR="00000000" w:rsidRDefault="00D630BC">
      <w:pPr>
        <w:pStyle w:val="af1"/>
      </w:pPr>
      <w:r>
        <w:rPr>
          <w:bCs/>
          <w:rtl/>
        </w:rPr>
        <w:t xml:space="preserve">7. </w:t>
      </w:r>
      <w:r>
        <w:rPr>
          <w:bCs/>
          <w:rtl/>
        </w:rPr>
        <w:tab/>
      </w:r>
      <w:r>
        <w:rPr>
          <w:bCs/>
          <w:rtl/>
        </w:rPr>
        <w:tab/>
      </w:r>
      <w:r>
        <w:t>)</w:t>
      </w:r>
      <w:r>
        <w:rPr>
          <w:rtl/>
        </w:rPr>
        <w:t>א</w:t>
      </w:r>
      <w:r>
        <w:t>(</w:t>
      </w:r>
      <w:r>
        <w:rPr>
          <w:rtl/>
        </w:rPr>
        <w:t xml:space="preserve"> כל פועלי המועצה וקבלניה, שהורשו לכך בידי המפקח, רשאים להיכנס לכל בנין, אורווה, בית מלאכה או קרקע חקלאית כד</w:t>
      </w:r>
      <w:r>
        <w:rPr>
          <w:rtl/>
        </w:rPr>
        <w:t>י לאסוף אשפה, זבל או פסולת בשעות שיקבע המפקח.</w:t>
      </w:r>
    </w:p>
    <w:p w:rsidR="00000000" w:rsidRDefault="00D630BC">
      <w:pPr>
        <w:pStyle w:val="12"/>
      </w:pPr>
      <w:r>
        <w:t>)</w:t>
      </w:r>
      <w:r>
        <w:rPr>
          <w:rtl/>
        </w:rPr>
        <w:t>ב</w:t>
      </w:r>
      <w:r>
        <w:t>(</w:t>
      </w:r>
      <w:r>
        <w:rPr>
          <w:rtl/>
        </w:rPr>
        <w:t xml:space="preserve"> בעל בנין, אורווה או בית מלאכה, או המחזיק בהם יאפשר לפועלי המועצה ולקבלניה לגשת על נקלה לכלי האשפה או לכלי קיבול אחרים כדי לאסוף ולהוציא אשפה, זבל או פסולת ללא הפרעה.</w:t>
      </w:r>
    </w:p>
    <w:p w:rsidR="00000000" w:rsidRDefault="00D630BC">
      <w:pPr>
        <w:pStyle w:val="af0"/>
        <w:ind w:left="618" w:right="0"/>
      </w:pPr>
      <w:r>
        <w:rPr>
          <w:rtl/>
        </w:rPr>
        <w:t>סמכויות המפקח</w:t>
      </w:r>
    </w:p>
    <w:p w:rsidR="00000000" w:rsidRDefault="00D630BC">
      <w:pPr>
        <w:pStyle w:val="af1"/>
      </w:pPr>
      <w:r>
        <w:rPr>
          <w:bCs/>
          <w:rtl/>
        </w:rPr>
        <w:t xml:space="preserve">8. </w:t>
      </w:r>
      <w:r>
        <w:rPr>
          <w:bCs/>
          <w:rtl/>
        </w:rPr>
        <w:tab/>
      </w:r>
      <w:r>
        <w:rPr>
          <w:bCs/>
          <w:rtl/>
        </w:rPr>
        <w:tab/>
      </w:r>
      <w:r>
        <w:t>)</w:t>
      </w:r>
      <w:r>
        <w:rPr>
          <w:rtl/>
        </w:rPr>
        <w:t>א</w:t>
      </w:r>
      <w:r>
        <w:t>(</w:t>
      </w:r>
      <w:r>
        <w:rPr>
          <w:rtl/>
        </w:rPr>
        <w:t xml:space="preserve"> המפקח רשאי להיכנס</w:t>
      </w:r>
      <w:r>
        <w:rPr>
          <w:rtl/>
        </w:rPr>
        <w:t xml:space="preserve"> לכל בנין, אורווה או בית מלאכה כדי לבדוק אם נתקיימו הוראות חוק עזר זה.</w:t>
      </w:r>
    </w:p>
    <w:p w:rsidR="00000000" w:rsidRDefault="00D630BC">
      <w:pPr>
        <w:pStyle w:val="12"/>
      </w:pPr>
      <w:r>
        <w:t>)</w:t>
      </w:r>
      <w:r>
        <w:rPr>
          <w:rtl/>
        </w:rPr>
        <w:t>ב</w:t>
      </w:r>
      <w:r>
        <w:t>(</w:t>
      </w:r>
      <w:r>
        <w:rPr>
          <w:rtl/>
        </w:rPr>
        <w:t xml:space="preserve"> לא מילא הבעל או המחזיק אחרי דרישת המפקח לפי סעיפים 2 או 3, רשאי ראש המועצה לבצע את העבודות ולגבות את הוצאות הביצוע מאותו בעל או מאותו מחזיק.</w:t>
      </w:r>
    </w:p>
    <w:p w:rsidR="00000000" w:rsidRDefault="00D630BC">
      <w:pPr>
        <w:pStyle w:val="af0"/>
        <w:ind w:left="618" w:right="0"/>
      </w:pPr>
      <w:r>
        <w:rPr>
          <w:rtl/>
        </w:rPr>
        <w:t>מסירת הודעות</w:t>
      </w:r>
    </w:p>
    <w:p w:rsidR="00000000" w:rsidRDefault="00D630BC">
      <w:pPr>
        <w:pStyle w:val="af1"/>
      </w:pPr>
      <w:r>
        <w:rPr>
          <w:bCs/>
          <w:rtl/>
        </w:rPr>
        <w:t xml:space="preserve">9. </w:t>
      </w:r>
      <w:r>
        <w:rPr>
          <w:bCs/>
          <w:rtl/>
        </w:rPr>
        <w:tab/>
      </w:r>
      <w:r>
        <w:rPr>
          <w:bCs/>
          <w:rtl/>
        </w:rPr>
        <w:tab/>
      </w:r>
      <w:r>
        <w:rPr>
          <w:rtl/>
        </w:rPr>
        <w:t>מסירת הודעה לפי חוק עז</w:t>
      </w:r>
      <w:r>
        <w:rPr>
          <w:rtl/>
        </w:rPr>
        <w:t>ר זה תהא כדין, אם נמסרה לידי האדם שאליו היא מכוונת, או נמסרה במקום מגוריו או במקום עסקו הרגילים או הידועים לאחרונה, לידי אחד מבני משפחתו הבוגרים, או לידי כל אדם בוגר העובד או המועסק שם, או נשלחה בדואר במכתב רשום הערוך אל אותו אדם לפי מען מגוריו או עסקו הרג</w:t>
      </w:r>
      <w:r>
        <w:rPr>
          <w:rtl/>
        </w:rPr>
        <w:t>ילים או הידועים לאחרונה; אם אי אפשר לקיים את המסירה כאמור, תהא המסירה כדין אם הוצגה ההודעה במקום בולט על הנכס שבו דנה ההודעה או פורסמה בשני עתונים יומיים הנפוצים בתחום המועצה שלפחות אחד מהם הוא בשפה העברית.</w:t>
      </w:r>
    </w:p>
    <w:p w:rsidR="00000000" w:rsidRDefault="00D630BC">
      <w:pPr>
        <w:pStyle w:val="af0"/>
        <w:ind w:left="618" w:right="0"/>
      </w:pPr>
      <w:r>
        <w:rPr>
          <w:rtl/>
        </w:rPr>
        <w:t>עונשין</w:t>
      </w:r>
    </w:p>
    <w:p w:rsidR="00000000" w:rsidRDefault="00D630BC">
      <w:pPr>
        <w:pStyle w:val="af1"/>
      </w:pPr>
      <w:r>
        <w:rPr>
          <w:bCs/>
          <w:rtl/>
        </w:rPr>
        <w:t xml:space="preserve">10. </w:t>
      </w:r>
      <w:r>
        <w:rPr>
          <w:bCs/>
          <w:rtl/>
        </w:rPr>
        <w:tab/>
      </w:r>
      <w:r>
        <w:rPr>
          <w:bCs/>
          <w:rtl/>
        </w:rPr>
        <w:tab/>
      </w:r>
      <w:r>
        <w:rPr>
          <w:rtl/>
        </w:rPr>
        <w:t>העובר על הוראה מהוראות חוק עזר זה, ד</w:t>
      </w:r>
      <w:r>
        <w:rPr>
          <w:rtl/>
        </w:rPr>
        <w:t xml:space="preserve">ינו </w:t>
      </w:r>
      <w:r>
        <w:t>-</w:t>
      </w:r>
      <w:r>
        <w:rPr>
          <w:rtl/>
        </w:rPr>
        <w:t xml:space="preserve"> קנס 600 שקלים חדשים ;</w:t>
      </w:r>
      <w:r>
        <w:t xml:space="preserve"> *</w:t>
      </w:r>
      <w:r>
        <w:rPr>
          <w:rtl/>
        </w:rPr>
        <w:t>ואם עבר על הוראות סעיפים 2 או 3 והמפקח לא השתמש בסמכויותיו לפי סעיף 8</w:t>
      </w:r>
      <w:r>
        <w:t>)</w:t>
      </w:r>
      <w:r>
        <w:rPr>
          <w:rtl/>
        </w:rPr>
        <w:t>ב</w:t>
      </w:r>
      <w:r>
        <w:t>(</w:t>
      </w:r>
      <w:r>
        <w:rPr>
          <w:rtl/>
        </w:rPr>
        <w:t xml:space="preserve">, והיתה העבירה נמשכת, דינו </w:t>
      </w:r>
      <w:r>
        <w:t>-</w:t>
      </w:r>
      <w:r>
        <w:rPr>
          <w:rtl/>
        </w:rPr>
        <w:t xml:space="preserve"> קנס נוסף 24 שקלים חדשים</w:t>
      </w:r>
      <w:r>
        <w:t xml:space="preserve"> *</w:t>
      </w:r>
      <w:r>
        <w:rPr>
          <w:rtl/>
        </w:rPr>
        <w:t>לכל יום שבו נמשכת העבירה לאחר שנמסרה לו עליה הודעה בכתב מאת ראש המועצה או אחרי הרשעתו; ואם עבר על הור</w:t>
      </w:r>
      <w:r>
        <w:rPr>
          <w:rtl/>
        </w:rPr>
        <w:t xml:space="preserve">אות סעיפים 4, 5 או 6 והיתה העברה נמשכת, דינו </w:t>
      </w:r>
      <w:r>
        <w:t>-</w:t>
      </w:r>
      <w:r>
        <w:rPr>
          <w:rtl/>
        </w:rPr>
        <w:t xml:space="preserve"> קנס נוסף עשרים לירות לכל יום שבו נמשכת העבירה לאחר שנמסרה לו עליה הודעה בכתב מאת ראש המועצה.</w:t>
      </w:r>
    </w:p>
    <w:p w:rsidR="00000000" w:rsidRDefault="00D630BC">
      <w:pPr>
        <w:pStyle w:val="a7"/>
        <w:ind w:left="329" w:right="0"/>
      </w:pPr>
      <w:r>
        <w:t>*</w:t>
      </w:r>
      <w:r>
        <w:tab/>
      </w:r>
      <w:r>
        <w:rPr>
          <w:rtl/>
        </w:rPr>
        <w:t xml:space="preserve"> תחילה ביום: 4.2.88, חש"ם 355</w:t>
      </w:r>
    </w:p>
    <w:p w:rsidR="00000000" w:rsidRDefault="00D630BC">
      <w:pPr>
        <w:pStyle w:val="af0"/>
        <w:ind w:left="618" w:right="0"/>
      </w:pPr>
      <w:r>
        <w:rPr>
          <w:rtl/>
        </w:rPr>
        <w:t>השם</w:t>
      </w:r>
    </w:p>
    <w:p w:rsidR="00000000" w:rsidRDefault="00D630BC">
      <w:pPr>
        <w:pStyle w:val="af1"/>
      </w:pPr>
      <w:r>
        <w:rPr>
          <w:bCs/>
          <w:rtl/>
        </w:rPr>
        <w:t xml:space="preserve">11. </w:t>
      </w:r>
      <w:r>
        <w:rPr>
          <w:bCs/>
          <w:rtl/>
        </w:rPr>
        <w:tab/>
      </w:r>
      <w:r>
        <w:rPr>
          <w:bCs/>
          <w:rtl/>
        </w:rPr>
        <w:tab/>
      </w:r>
      <w:r>
        <w:rPr>
          <w:rtl/>
        </w:rPr>
        <w:t xml:space="preserve">לחוק עזר זה ייקרא "חוק עזר לגליל התחתון </w:t>
      </w:r>
      <w:r>
        <w:t>)</w:t>
      </w:r>
      <w:r>
        <w:rPr>
          <w:rtl/>
        </w:rPr>
        <w:t>הוצאת אשפה</w:t>
      </w:r>
      <w:r>
        <w:t>(</w:t>
      </w:r>
      <w:r>
        <w:rPr>
          <w:rtl/>
        </w:rPr>
        <w:t>, תשל"ח1977-".</w:t>
      </w:r>
    </w:p>
    <w:p w:rsidR="00000000" w:rsidRDefault="00D630BC">
      <w:pPr>
        <w:pStyle w:val="a6"/>
      </w:pPr>
      <w:r>
        <w:rPr>
          <w:rtl/>
        </w:rPr>
        <w:t>נתאשר.</w:t>
      </w:r>
    </w:p>
    <w:p w:rsidR="00000000" w:rsidRDefault="00D630BC">
      <w:pPr>
        <w:pStyle w:val="a6"/>
      </w:pPr>
      <w:r>
        <w:rPr>
          <w:rtl/>
        </w:rPr>
        <w:t xml:space="preserve">ו' בתשרי תשל"ח </w:t>
      </w:r>
      <w:r>
        <w:t>)</w:t>
      </w:r>
      <w:r>
        <w:rPr>
          <w:rtl/>
        </w:rPr>
        <w:t>18 בספטמבר 1977</w:t>
      </w:r>
      <w:r>
        <w:t>(</w:t>
      </w:r>
    </w:p>
    <w:p w:rsidR="00000000" w:rsidRDefault="00D630BC">
      <w:pPr>
        <w:pStyle w:val="ac"/>
        <w:ind w:left="5052" w:right="0"/>
      </w:pPr>
      <w:r>
        <w:rPr>
          <w:rtl/>
        </w:rPr>
        <w:t>בני גורפינקל</w:t>
      </w:r>
    </w:p>
    <w:p w:rsidR="00000000" w:rsidRDefault="00D630BC">
      <w:pPr>
        <w:pStyle w:val="ac"/>
        <w:ind w:left="5052" w:right="0"/>
      </w:pPr>
      <w:r>
        <w:rPr>
          <w:rtl/>
        </w:rPr>
        <w:t>ראש המועצה האזורית הגליל התחתון</w:t>
      </w:r>
    </w:p>
    <w:p w:rsidR="00000000" w:rsidRDefault="00D630BC">
      <w:pPr>
        <w:pStyle w:val="ab"/>
      </w:pPr>
      <w:r>
        <w:rPr>
          <w:rtl/>
        </w:rPr>
        <w:tab/>
      </w:r>
      <w:r>
        <w:rPr>
          <w:rtl/>
        </w:rPr>
        <w:tab/>
      </w:r>
      <w:r>
        <w:rPr>
          <w:rtl/>
        </w:rPr>
        <w:tab/>
      </w:r>
      <w:r>
        <w:rPr>
          <w:rtl/>
        </w:rPr>
        <w:tab/>
      </w:r>
      <w:r>
        <w:rPr>
          <w:rtl/>
        </w:rPr>
        <w:tab/>
        <w:t>יוסף בורג</w:t>
      </w:r>
    </w:p>
    <w:p w:rsidR="00000000" w:rsidRDefault="00D630BC">
      <w:pPr>
        <w:pStyle w:val="ab"/>
      </w:pPr>
      <w:r>
        <w:rPr>
          <w:rtl/>
        </w:rPr>
        <w:tab/>
      </w:r>
      <w:r>
        <w:rPr>
          <w:rtl/>
        </w:rPr>
        <w:tab/>
      </w:r>
      <w:r>
        <w:rPr>
          <w:rtl/>
        </w:rPr>
        <w:tab/>
      </w:r>
      <w:r>
        <w:rPr>
          <w:rtl/>
        </w:rPr>
        <w:tab/>
      </w:r>
      <w:r>
        <w:rPr>
          <w:rtl/>
        </w:rPr>
        <w:tab/>
        <w:t>שר הפנים</w:t>
      </w:r>
    </w:p>
    <w:p w:rsidR="00000000" w:rsidRDefault="00D630BC">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630BC">
      <w:pPr>
        <w:spacing w:after="0" w:line="240" w:lineRule="auto"/>
      </w:pPr>
      <w:r>
        <w:separator/>
      </w:r>
    </w:p>
  </w:endnote>
  <w:endnote w:type="continuationSeparator" w:id="0">
    <w:p w:rsidR="00000000" w:rsidRDefault="00D6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630BC">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D630BC">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630BC">
      <w:pPr>
        <w:spacing w:after="0" w:line="240" w:lineRule="auto"/>
      </w:pPr>
      <w:r>
        <w:separator/>
      </w:r>
    </w:p>
  </w:footnote>
  <w:footnote w:type="continuationSeparator" w:id="0">
    <w:p w:rsidR="00000000" w:rsidRDefault="00D63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630BC">
    <w:pPr>
      <w:pStyle w:val="afb"/>
      <w:rPr>
        <w:color w:val="800080"/>
        <w:rtl/>
      </w:rPr>
    </w:pPr>
    <w:r>
      <w:rPr>
        <w:color w:val="800080"/>
        <w:rtl/>
      </w:rPr>
      <w:tab/>
    </w:r>
    <w:r>
      <w:rPr>
        <w:color w:val="800080"/>
        <w:rtl/>
      </w:rPr>
      <w:fldChar w:fldCharType="begin"/>
    </w:r>
    <w:r>
      <w:rPr>
        <w:color w:val="800080"/>
        <w:rtl/>
      </w:rPr>
      <w:instrText xml:space="preserve"> </w:instrText>
    </w:r>
    <w:r>
      <w:rPr>
        <w:color w:val="800080"/>
      </w:rPr>
      <w:instrText>STYLEREF "Heading 1" \* MERGEFORMAT</w:instrText>
    </w:r>
    <w:r>
      <w:rPr>
        <w:color w:val="800080"/>
        <w:rtl/>
      </w:rPr>
      <w:instrText xml:space="preserve"> </w:instrText>
    </w:r>
    <w:r>
      <w:rPr>
        <w:color w:val="800080"/>
        <w:rtl/>
      </w:rPr>
      <w:fldChar w:fldCharType="separate"/>
    </w:r>
    <w:r>
      <w:rPr>
        <w:rFonts w:hint="cs"/>
        <w:b/>
        <w:bCs/>
        <w:noProof/>
        <w:color w:val="800080"/>
        <w:rtl/>
      </w:rPr>
      <w:t xml:space="preserve">שגיאה! השתמש בכרטיסיה בית כדי להחיל </w:t>
    </w:r>
    <w:r>
      <w:rPr>
        <w:rFonts w:hint="cs"/>
        <w:b/>
        <w:bCs/>
        <w:noProof/>
        <w:color w:val="800080"/>
      </w:rPr>
      <w:t>Heading 1</w:t>
    </w:r>
    <w:r>
      <w:rPr>
        <w:rFonts w:hint="cs"/>
        <w:b/>
        <w:bCs/>
        <w:noProof/>
        <w:color w:val="800080"/>
        <w:rtl/>
      </w:rPr>
      <w:t xml:space="preserve"> על הטקסט שברצונך שיופיע כאן.</w:t>
    </w:r>
    <w:r>
      <w:rPr>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BC"/>
    <w:rsid w:val="00D6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C6BEE6-3381-4B18-95AD-5666CD0E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0BC"/>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D630BC"/>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630BC"/>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4570</Characters>
  <Application>Microsoft Office Word</Application>
  <DocSecurity>0</DocSecurity>
  <Lines>38</Lines>
  <Paragraphs>10</Paragraphs>
  <ScaleCrop>false</ScaleCrop>
  <Company>משפחת דלומי</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לגליל התחתון (הוצאת אשפה), תשל"ח1977-</dc:title>
  <dc:subject/>
  <dc:creator>ven2word1</dc:creator>
  <cp:keywords/>
  <dc:description/>
  <cp:lastModifiedBy>חנן זולדן</cp:lastModifiedBy>
  <cp:revision>2</cp:revision>
  <cp:lastPrinted>2002-12-16T21:15:00Z</cp:lastPrinted>
  <dcterms:created xsi:type="dcterms:W3CDTF">2020-04-02T11:46:00Z</dcterms:created>
  <dcterms:modified xsi:type="dcterms:W3CDTF">2020-04-02T11:46:00Z</dcterms:modified>
</cp:coreProperties>
</file>