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4DDE">
      <w:pPr>
        <w:pStyle w:val="1"/>
      </w:pPr>
      <w:bookmarkStart w:id="0" w:name="_GoBack"/>
      <w:bookmarkEnd w:id="0"/>
      <w:r>
        <w:rPr>
          <w:rtl/>
        </w:rPr>
        <w:t>ח</w:t>
      </w:r>
      <w:r>
        <w:rPr>
          <w:rtl/>
        </w:rPr>
        <w:t>וק עזר לגליל התחתון (הצמדה למדד), התשמ"ה1985-</w:t>
      </w:r>
    </w:p>
    <w:p w:rsidR="00000000" w:rsidRDefault="00734DDE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חש"ם 261, </w:t>
      </w:r>
      <w:r>
        <w:rPr>
          <w:rtl/>
        </w:rPr>
        <w:tab/>
        <w:t xml:space="preserve">תשמ"ה </w:t>
      </w:r>
      <w:r>
        <w:t>)</w:t>
      </w:r>
      <w:r>
        <w:rPr>
          <w:rtl/>
        </w:rPr>
        <w:t>5.2.1985</w:t>
      </w:r>
      <w:r>
        <w:t>(</w:t>
      </w:r>
      <w:r>
        <w:rPr>
          <w:rtl/>
        </w:rPr>
        <w:t xml:space="preserve">, </w:t>
      </w:r>
      <w:r>
        <w:rPr>
          <w:rtl/>
        </w:rPr>
        <w:tab/>
        <w:t>עמ' 156</w:t>
      </w:r>
    </w:p>
    <w:p w:rsidR="00000000" w:rsidRDefault="00734DDE">
      <w:pPr>
        <w:pStyle w:val="a6"/>
      </w:pPr>
      <w:r>
        <w:rPr>
          <w:rtl/>
        </w:rPr>
        <w:t>בתוקף סמכותה לפי סעיף 22 לפקודת המועצות המקומיות, מתקינה המועצה האזורית הגליל התחתון חוק עזר זה:</w:t>
      </w:r>
    </w:p>
    <w:p w:rsidR="00000000" w:rsidRDefault="00734DDE">
      <w:pPr>
        <w:pStyle w:val="af0"/>
        <w:ind w:left="618" w:right="0"/>
      </w:pPr>
      <w:r>
        <w:rPr>
          <w:rtl/>
        </w:rPr>
        <w:t>הגדרות</w:t>
      </w:r>
    </w:p>
    <w:p w:rsidR="00000000" w:rsidRDefault="00734DDE">
      <w:pPr>
        <w:pStyle w:val="af1"/>
      </w:pPr>
      <w:r>
        <w:rPr>
          <w:bCs/>
          <w:rtl/>
        </w:rPr>
        <w:t xml:space="preserve">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:rsidR="00000000" w:rsidRDefault="00734DDE">
      <w:pPr>
        <w:pStyle w:val="a4"/>
      </w:pPr>
      <w:r>
        <w:rPr>
          <w:bCs/>
          <w:rtl/>
        </w:rPr>
        <w:t xml:space="preserve">"מדד" </w:t>
      </w:r>
      <w:r>
        <w:rPr>
          <w:bCs/>
        </w:rPr>
        <w:t xml:space="preserve"> -</w:t>
      </w:r>
      <w:r>
        <w:rPr>
          <w:rtl/>
        </w:rPr>
        <w:t>מדד המחירים לצרכן שפרסמה הלשכה ה</w:t>
      </w:r>
      <w:r>
        <w:rPr>
          <w:rtl/>
        </w:rPr>
        <w:t>מרכזית לסטטיסטיקה;</w:t>
      </w:r>
    </w:p>
    <w:p w:rsidR="00000000" w:rsidRDefault="00734DDE">
      <w:pPr>
        <w:pStyle w:val="a4"/>
      </w:pPr>
      <w:r>
        <w:rPr>
          <w:bCs/>
          <w:rtl/>
        </w:rPr>
        <w:t xml:space="preserve">"המועצה" </w:t>
      </w:r>
      <w:r>
        <w:rPr>
          <w:bCs/>
        </w:rPr>
        <w:t xml:space="preserve"> -</w:t>
      </w:r>
      <w:r>
        <w:rPr>
          <w:rtl/>
        </w:rPr>
        <w:t>המועצה האזורית גליל תחתון.</w:t>
      </w:r>
    </w:p>
    <w:p w:rsidR="00000000" w:rsidRDefault="00734DDE">
      <w:pPr>
        <w:pStyle w:val="af0"/>
        <w:ind w:left="618" w:right="0"/>
      </w:pPr>
      <w:r>
        <w:rPr>
          <w:rtl/>
        </w:rPr>
        <w:t>הצמדה למדד</w:t>
      </w:r>
    </w:p>
    <w:p w:rsidR="00000000" w:rsidRDefault="00734DDE">
      <w:pPr>
        <w:pStyle w:val="af1"/>
      </w:pPr>
      <w:r>
        <w:rPr>
          <w:bCs/>
          <w:rtl/>
        </w:rPr>
        <w:t xml:space="preserve">2.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סכומי האגרות, ההיטלים ותשלומים אחרים, לפי הענין, שהוטלו בחוקי העזר של המועצה הנקובים בתוספת, יועלו ב1- בכל חודש </w:t>
      </w:r>
      <w:r>
        <w:t>)</w:t>
      </w:r>
      <w:r>
        <w:rPr>
          <w:rtl/>
        </w:rPr>
        <w:t xml:space="preserve">להלן </w:t>
      </w:r>
      <w:r>
        <w:t>-</w:t>
      </w:r>
      <w:r>
        <w:rPr>
          <w:rtl/>
        </w:rPr>
        <w:t xml:space="preserve"> יום ההעלאה</w:t>
      </w:r>
      <w:r>
        <w:t>(</w:t>
      </w:r>
      <w:r>
        <w:rPr>
          <w:rtl/>
        </w:rPr>
        <w:t xml:space="preserve"> לפי שיעור עליית המדד מן המדד שפורסם לאחרונה לפנ</w:t>
      </w:r>
      <w:r>
        <w:rPr>
          <w:rtl/>
        </w:rPr>
        <w:t>י יום ההעלאה הקודם עד המדד שפורסם לאחרונה לפני יום ההעלאה.</w:t>
      </w:r>
    </w:p>
    <w:p w:rsidR="00000000" w:rsidRDefault="00734DDE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סכום מוגדל כאמור בסעיף קטן </w:t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יעוגל לשקל הקרוב.</w:t>
      </w:r>
    </w:p>
    <w:p w:rsidR="00000000" w:rsidRDefault="00734DDE">
      <w:pPr>
        <w:pStyle w:val="af0"/>
        <w:ind w:left="618" w:right="0"/>
      </w:pPr>
      <w:r>
        <w:rPr>
          <w:rtl/>
        </w:rPr>
        <w:t>הוראת מעבר</w:t>
      </w:r>
    </w:p>
    <w:p w:rsidR="00000000" w:rsidRDefault="00734DDE">
      <w:pPr>
        <w:pStyle w:val="af1"/>
      </w:pPr>
      <w:r>
        <w:rPr>
          <w:bCs/>
          <w:rtl/>
        </w:rPr>
        <w:t xml:space="preserve">3.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על אף האמור בסעיף 2 תהיה ההעלאה ב1- בחודש שלאחר פרסום חוק עזר זה </w:t>
      </w:r>
      <w:r>
        <w:t>)</w:t>
      </w:r>
      <w:r>
        <w:rPr>
          <w:rtl/>
        </w:rPr>
        <w:t xml:space="preserve">להלן </w:t>
      </w:r>
      <w:r>
        <w:t>-</w:t>
      </w:r>
      <w:r>
        <w:rPr>
          <w:rtl/>
        </w:rPr>
        <w:t xml:space="preserve"> יום ההעלאה הראשון</w:t>
      </w:r>
      <w:r>
        <w:t>(</w:t>
      </w:r>
      <w:r>
        <w:rPr>
          <w:rtl/>
        </w:rPr>
        <w:t xml:space="preserve"> לפי שיעור עליית המדד מן המדד שפורסם </w:t>
      </w:r>
      <w:r>
        <w:rPr>
          <w:rtl/>
        </w:rPr>
        <w:t>בחודש מרס 1984 עד המדד שפורסם לאחרונה לפני יום ההעלאה הראשון.</w:t>
      </w:r>
    </w:p>
    <w:p w:rsidR="00000000" w:rsidRDefault="00734DDE">
      <w:pPr>
        <w:pStyle w:val="-1"/>
      </w:pPr>
      <w:r>
        <w:rPr>
          <w:rtl/>
        </w:rPr>
        <w:t>תוספת</w:t>
      </w:r>
    </w:p>
    <w:p w:rsidR="00000000" w:rsidRDefault="00734DDE">
      <w:pPr>
        <w:pStyle w:val="2"/>
        <w:ind w:left="998" w:right="0"/>
      </w:pPr>
      <w:r>
        <w:rPr>
          <w:rtl/>
        </w:rPr>
        <w:t xml:space="preserve">חוק עזר לגליל תחתון </w:t>
      </w:r>
      <w:r>
        <w:t>)</w:t>
      </w:r>
      <w:r>
        <w:rPr>
          <w:rtl/>
        </w:rPr>
        <w:t>אגרת תעודת אישור</w:t>
      </w:r>
      <w:r>
        <w:t>(</w:t>
      </w:r>
      <w:r>
        <w:rPr>
          <w:rtl/>
        </w:rPr>
        <w:t>, התשמ"ד1984-.</w:t>
      </w:r>
    </w:p>
    <w:p w:rsidR="00000000" w:rsidRDefault="00734DDE">
      <w:pPr>
        <w:pStyle w:val="2"/>
        <w:ind w:left="998" w:right="0"/>
      </w:pPr>
      <w:r>
        <w:rPr>
          <w:rtl/>
        </w:rPr>
        <w:t xml:space="preserve">חוק עזר לגליל תחתון </w:t>
      </w:r>
      <w:r>
        <w:t>)</w:t>
      </w:r>
      <w:r>
        <w:rPr>
          <w:rtl/>
        </w:rPr>
        <w:t>רוכלות</w:t>
      </w:r>
      <w:r>
        <w:t>(</w:t>
      </w:r>
      <w:r>
        <w:rPr>
          <w:rtl/>
        </w:rPr>
        <w:t>, התשמ"ד1984-.</w:t>
      </w:r>
    </w:p>
    <w:p w:rsidR="00000000" w:rsidRDefault="00734DDE">
      <w:pPr>
        <w:pStyle w:val="a6"/>
      </w:pPr>
      <w:r>
        <w:rPr>
          <w:rtl/>
        </w:rPr>
        <w:t>נתאשר.</w:t>
      </w:r>
    </w:p>
    <w:p w:rsidR="00000000" w:rsidRDefault="00734DDE">
      <w:pPr>
        <w:pStyle w:val="a6"/>
      </w:pPr>
      <w:r>
        <w:rPr>
          <w:rtl/>
        </w:rPr>
        <w:t xml:space="preserve">ט"ז בכסלו התשמ"ה </w:t>
      </w:r>
      <w:r>
        <w:t>)</w:t>
      </w:r>
      <w:r>
        <w:rPr>
          <w:rtl/>
        </w:rPr>
        <w:t>10 בדצמבר 1984</w:t>
      </w:r>
      <w:r>
        <w:t>(</w:t>
      </w:r>
    </w:p>
    <w:p w:rsidR="00000000" w:rsidRDefault="00734DDE">
      <w:pPr>
        <w:pStyle w:val="ac"/>
        <w:ind w:left="5052" w:right="0"/>
      </w:pPr>
      <w:r>
        <w:rPr>
          <w:rtl/>
        </w:rPr>
        <w:t>בני גורפינקל</w:t>
      </w:r>
    </w:p>
    <w:p w:rsidR="00000000" w:rsidRDefault="00734DDE">
      <w:pPr>
        <w:pStyle w:val="ac"/>
        <w:ind w:left="5052" w:right="0"/>
      </w:pPr>
      <w:r>
        <w:rPr>
          <w:rtl/>
        </w:rPr>
        <w:t>ראש המועצה האזורית גליל תחתון</w:t>
      </w:r>
    </w:p>
    <w:p w:rsidR="00000000" w:rsidRDefault="00734DDE">
      <w:pPr>
        <w:pStyle w:val="ab"/>
      </w:pPr>
      <w:r>
        <w:rPr>
          <w:rtl/>
        </w:rPr>
        <w:t>שמעון פר</w:t>
      </w:r>
      <w:r>
        <w:rPr>
          <w:rtl/>
        </w:rPr>
        <w:t>ס</w:t>
      </w:r>
    </w:p>
    <w:p w:rsidR="00000000" w:rsidRDefault="00734DDE">
      <w:pPr>
        <w:pStyle w:val="ab"/>
      </w:pPr>
      <w:r>
        <w:rPr>
          <w:rtl/>
        </w:rPr>
        <w:t>שר הפנים</w:t>
      </w:r>
    </w:p>
    <w:p w:rsidR="00000000" w:rsidRDefault="00734DDE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4DDE">
      <w:pPr>
        <w:spacing w:after="0" w:line="240" w:lineRule="auto"/>
      </w:pPr>
      <w:r>
        <w:separator/>
      </w:r>
    </w:p>
  </w:endnote>
  <w:endnote w:type="continuationSeparator" w:id="0">
    <w:p w:rsidR="00000000" w:rsidRDefault="0073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34DDE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734DDE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4DDE">
      <w:pPr>
        <w:spacing w:after="0" w:line="240" w:lineRule="auto"/>
      </w:pPr>
      <w:r>
        <w:separator/>
      </w:r>
    </w:p>
  </w:footnote>
  <w:footnote w:type="continuationSeparator" w:id="0">
    <w:p w:rsidR="00000000" w:rsidRDefault="0073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34DDE">
    <w:pPr>
      <w:pStyle w:val="afb"/>
      <w:rPr>
        <w:color w:val="800080"/>
        <w:rtl/>
      </w:rPr>
    </w:pPr>
    <w:r>
      <w:rPr>
        <w:color w:val="800080"/>
        <w:rtl/>
      </w:rPr>
      <w:tab/>
    </w:r>
    <w:r>
      <w:rPr>
        <w:color w:val="800080"/>
        <w:rtl/>
      </w:rPr>
      <w:fldChar w:fldCharType="begin"/>
    </w:r>
    <w:r>
      <w:rPr>
        <w:color w:val="800080"/>
        <w:rtl/>
      </w:rPr>
      <w:instrText xml:space="preserve"> </w:instrText>
    </w:r>
    <w:r>
      <w:rPr>
        <w:color w:val="800080"/>
      </w:rPr>
      <w:instrText>STYLEREF "Heading 1" \* MERGEFORMAT</w:instrText>
    </w:r>
    <w:r>
      <w:rPr>
        <w:color w:val="800080"/>
        <w:rtl/>
      </w:rPr>
      <w:instrText xml:space="preserve"> </w:instrText>
    </w:r>
    <w:r>
      <w:rPr>
        <w:color w:val="800080"/>
        <w:rtl/>
      </w:rPr>
      <w:fldChar w:fldCharType="separate"/>
    </w:r>
    <w:r>
      <w:rPr>
        <w:rFonts w:hint="cs"/>
        <w:b/>
        <w:bCs/>
        <w:noProof/>
        <w:color w:val="800080"/>
        <w:rtl/>
      </w:rPr>
      <w:t xml:space="preserve">שגיאה! השתמש בכרטיסיה בית כדי להחיל </w:t>
    </w:r>
    <w:r>
      <w:rPr>
        <w:rFonts w:hint="cs"/>
        <w:b/>
        <w:bCs/>
        <w:noProof/>
        <w:color w:val="800080"/>
      </w:rPr>
      <w:t>Heading 1</w:t>
    </w:r>
    <w:r>
      <w:rPr>
        <w:rFonts w:hint="cs"/>
        <w:b/>
        <w:bCs/>
        <w:noProof/>
        <w:color w:val="800080"/>
        <w:rtl/>
      </w:rPr>
      <w:t xml:space="preserve"> על הטקסט שברצונך שיופיע כאן.</w:t>
    </w:r>
    <w:r>
      <w:rPr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DE"/>
    <w:rsid w:val="0073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E2767C5-C139-4A56-B3A3-5E244AFE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DE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734DDE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734DDE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865</Characters>
  <Application>Microsoft Office Word</Application>
  <DocSecurity>0</DocSecurity>
  <Lines>7</Lines>
  <Paragraphs>2</Paragraphs>
  <ScaleCrop>false</ScaleCrop>
  <Company>משפחת דלומי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חוק עזר לגליל התחתון (הצמדה למדד), התשמ"ה1985-</dc:title>
  <dc:subject/>
  <dc:creator>ven2word1</dc:creator>
  <cp:keywords/>
  <dc:description/>
  <cp:lastModifiedBy>חנן זולדן</cp:lastModifiedBy>
  <cp:revision>2</cp:revision>
  <cp:lastPrinted>2002-12-16T21:15:00Z</cp:lastPrinted>
  <dcterms:created xsi:type="dcterms:W3CDTF">2020-04-02T11:52:00Z</dcterms:created>
  <dcterms:modified xsi:type="dcterms:W3CDTF">2020-04-02T11:52:00Z</dcterms:modified>
</cp:coreProperties>
</file>