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4A30">
      <w:pPr>
        <w:pStyle w:val="1"/>
      </w:pPr>
      <w:bookmarkStart w:id="0" w:name="_GoBack"/>
      <w:bookmarkEnd w:id="0"/>
      <w:r>
        <w:rPr>
          <w:rtl/>
        </w:rPr>
        <w:t>חוק עזר לגליל תחתון (העמדת רכב וחנייתו), התשנ"ח1998-</w:t>
      </w:r>
    </w:p>
    <w:p w:rsidR="00000000" w:rsidRDefault="00B74A30">
      <w:pPr>
        <w:pStyle w:val="a0"/>
        <w:ind w:left="2177" w:right="284"/>
      </w:pPr>
      <w:r>
        <w:rPr>
          <w:rtl/>
        </w:rPr>
        <w:t>פורסם:</w:t>
      </w:r>
      <w:r>
        <w:t xml:space="preserve"> </w:t>
      </w:r>
      <w:r>
        <w:tab/>
      </w:r>
      <w:r>
        <w:rPr>
          <w:rtl/>
        </w:rPr>
        <w:t xml:space="preserve"> חש"ם 590, </w:t>
      </w:r>
      <w:r>
        <w:rPr>
          <w:rtl/>
        </w:rPr>
        <w:tab/>
        <w:t>תשנ"ח (15.1.1998),</w:t>
      </w:r>
      <w:r>
        <w:rPr>
          <w:rtl/>
        </w:rPr>
        <w:tab/>
        <w:t>עמ' 129</w:t>
      </w:r>
    </w:p>
    <w:p w:rsidR="00000000" w:rsidRDefault="00B74A30">
      <w:pPr>
        <w:pStyle w:val="a6"/>
        <w:ind w:firstLine="482"/>
      </w:pPr>
      <w:r>
        <w:rPr>
          <w:rtl/>
        </w:rPr>
        <w:t>בתוקף סמכותה לפי סעיפים 22 ו23- לפקודת המועצות המקומיות, וסעיף 77 לפקודת התעבורה, מתקינה המועצה האזורית גליל תחתון חוק עזר זה:</w:t>
      </w:r>
    </w:p>
    <w:p w:rsidR="00000000" w:rsidRDefault="00B74A30">
      <w:pPr>
        <w:pStyle w:val="af0"/>
        <w:ind w:left="618" w:right="0"/>
      </w:pPr>
      <w:r>
        <w:rPr>
          <w:rtl/>
        </w:rPr>
        <w:t>הגדרות</w:t>
      </w:r>
    </w:p>
    <w:p w:rsidR="00000000" w:rsidRDefault="00B74A30">
      <w:pPr>
        <w:pStyle w:val="af1"/>
      </w:pPr>
      <w:r>
        <w:rPr>
          <w:bCs/>
          <w:rtl/>
        </w:rPr>
        <w:t xml:space="preserve">1. </w:t>
      </w:r>
      <w:r>
        <w:rPr>
          <w:bCs/>
          <w:rtl/>
        </w:rPr>
        <w:tab/>
      </w:r>
      <w:r>
        <w:rPr>
          <w:bCs/>
          <w:rtl/>
        </w:rPr>
        <w:tab/>
      </w:r>
      <w:r>
        <w:rPr>
          <w:rtl/>
        </w:rPr>
        <w:t xml:space="preserve">בחוק עזר זה </w:t>
      </w:r>
      <w:r>
        <w:t>-</w:t>
      </w:r>
    </w:p>
    <w:p w:rsidR="00000000" w:rsidRDefault="00B74A30">
      <w:pPr>
        <w:pStyle w:val="a4"/>
      </w:pPr>
      <w:r>
        <w:rPr>
          <w:bCs/>
          <w:rtl/>
        </w:rPr>
        <w:t xml:space="preserve">"אוטובוס" </w:t>
      </w:r>
      <w:r>
        <w:rPr>
          <w:rtl/>
        </w:rPr>
        <w:t>-</w:t>
      </w:r>
      <w:r>
        <w:rPr>
          <w:bCs/>
          <w:rtl/>
        </w:rPr>
        <w:t xml:space="preserve"> </w:t>
      </w:r>
      <w:r>
        <w:rPr>
          <w:rtl/>
        </w:rPr>
        <w:t xml:space="preserve">כהגדרת אוטובוס ציבורי בתקנות התעבורה, התשכ"א1961- </w:t>
      </w:r>
      <w:r>
        <w:t>)</w:t>
      </w:r>
      <w:r>
        <w:rPr>
          <w:rtl/>
        </w:rPr>
        <w:t xml:space="preserve">להלן </w:t>
      </w:r>
      <w:r>
        <w:t>-</w:t>
      </w:r>
      <w:r>
        <w:rPr>
          <w:rtl/>
        </w:rPr>
        <w:t xml:space="preserve"> תקנות התעבורה</w:t>
      </w:r>
      <w:r>
        <w:t>(</w:t>
      </w:r>
      <w:r>
        <w:rPr>
          <w:rtl/>
        </w:rPr>
        <w:t>, המופעל בקווי שירות;</w:t>
      </w:r>
    </w:p>
    <w:p w:rsidR="00000000" w:rsidRDefault="00B74A30">
      <w:pPr>
        <w:pStyle w:val="a4"/>
        <w:rPr>
          <w:rtl/>
        </w:rPr>
      </w:pPr>
      <w:r>
        <w:rPr>
          <w:bCs/>
          <w:rtl/>
        </w:rPr>
        <w:t xml:space="preserve">"מונית" </w:t>
      </w:r>
      <w:r>
        <w:rPr>
          <w:rtl/>
        </w:rPr>
        <w:t>- כהגדרתה בפקודת התעבורה;</w:t>
      </w:r>
    </w:p>
    <w:p w:rsidR="00000000" w:rsidRDefault="00B74A30">
      <w:pPr>
        <w:pStyle w:val="a4"/>
        <w:rPr>
          <w:rtl/>
        </w:rPr>
      </w:pPr>
      <w:r>
        <w:rPr>
          <w:b/>
          <w:bCs/>
          <w:rtl/>
        </w:rPr>
        <w:t>"מפקד המשטרה"</w:t>
      </w:r>
      <w:r>
        <w:rPr>
          <w:rtl/>
        </w:rPr>
        <w:t xml:space="preserve"> - מפקד המחוז הצפוני של משטרת ישראל, לרבות אדם שמפקד המשטרה העביר אליו את סמכויותיו לפי ח</w:t>
      </w:r>
      <w:r>
        <w:rPr>
          <w:rtl/>
        </w:rPr>
        <w:t>וק עזר זה, כולן או מקצתן;</w:t>
      </w:r>
    </w:p>
    <w:p w:rsidR="00000000" w:rsidRDefault="00B74A30">
      <w:pPr>
        <w:pStyle w:val="a4"/>
        <w:rPr>
          <w:rtl/>
        </w:rPr>
      </w:pPr>
      <w:r>
        <w:rPr>
          <w:b/>
          <w:bCs/>
          <w:rtl/>
        </w:rPr>
        <w:t xml:space="preserve">"מפקח על התעבורה" </w:t>
      </w:r>
      <w:r>
        <w:rPr>
          <w:rtl/>
        </w:rPr>
        <w:t>- לרבות אדם שהמפקח על התעבורה העביר אליו את סמכויותיו, כולן או מקצתן;</w:t>
      </w:r>
    </w:p>
    <w:p w:rsidR="00000000" w:rsidRDefault="00B74A30">
      <w:pPr>
        <w:pStyle w:val="a4"/>
        <w:rPr>
          <w:rtl/>
        </w:rPr>
      </w:pPr>
      <w:r>
        <w:rPr>
          <w:b/>
          <w:bCs/>
          <w:rtl/>
        </w:rPr>
        <w:t>"מקום חניה"</w:t>
      </w:r>
      <w:r>
        <w:rPr>
          <w:rtl/>
        </w:rPr>
        <w:t xml:space="preserve"> - מקום שהותרה בו חניה לרכב לפי סעיף 2;</w:t>
      </w:r>
    </w:p>
    <w:p w:rsidR="00000000" w:rsidRDefault="00B74A30">
      <w:pPr>
        <w:pStyle w:val="a4"/>
        <w:rPr>
          <w:rtl/>
        </w:rPr>
      </w:pPr>
      <w:r>
        <w:rPr>
          <w:b/>
          <w:bCs/>
          <w:rtl/>
        </w:rPr>
        <w:t>"מקום חניה מוסדר"</w:t>
      </w:r>
      <w:r>
        <w:rPr>
          <w:rtl/>
        </w:rPr>
        <w:t xml:space="preserve"> - מקום חניה שנקבע כמקום חניה מוסדר לפי סעיף 3;</w:t>
      </w:r>
    </w:p>
    <w:p w:rsidR="00000000" w:rsidRDefault="00B74A30">
      <w:pPr>
        <w:pStyle w:val="a4"/>
        <w:rPr>
          <w:rtl/>
        </w:rPr>
      </w:pPr>
      <w:r>
        <w:rPr>
          <w:b/>
          <w:bCs/>
          <w:rtl/>
        </w:rPr>
        <w:t>"המועצה"</w:t>
      </w:r>
      <w:r>
        <w:rPr>
          <w:rtl/>
        </w:rPr>
        <w:t xml:space="preserve"> - המועצה האזורית </w:t>
      </w:r>
      <w:r>
        <w:rPr>
          <w:rtl/>
        </w:rPr>
        <w:t>גליל תחתון;</w:t>
      </w:r>
    </w:p>
    <w:p w:rsidR="00000000" w:rsidRDefault="00B74A30">
      <w:pPr>
        <w:pStyle w:val="a4"/>
        <w:rPr>
          <w:rtl/>
        </w:rPr>
      </w:pPr>
      <w:r>
        <w:rPr>
          <w:b/>
          <w:bCs/>
          <w:rtl/>
        </w:rPr>
        <w:t>"פקח"</w:t>
      </w:r>
      <w:r>
        <w:rPr>
          <w:rtl/>
        </w:rPr>
        <w:t xml:space="preserve"> - אדם שמונה בכתב בידי ראש המועצה לפקח, לענין חוק עזר זה;</w:t>
      </w:r>
    </w:p>
    <w:p w:rsidR="00000000" w:rsidRDefault="00B74A30">
      <w:pPr>
        <w:pStyle w:val="a4"/>
        <w:rPr>
          <w:rtl/>
        </w:rPr>
      </w:pPr>
      <w:r>
        <w:rPr>
          <w:b/>
          <w:bCs/>
          <w:rtl/>
        </w:rPr>
        <w:t>"ראש המועצה"</w:t>
      </w:r>
      <w:r>
        <w:rPr>
          <w:rtl/>
        </w:rPr>
        <w:t xml:space="preserve"> - לרבות אדם שראש המועצה העביר אליו בכתב את סמכויותיו לפי חוק עזר זה, כולן או מקצתן;</w:t>
      </w:r>
    </w:p>
    <w:p w:rsidR="00000000" w:rsidRDefault="00B74A30">
      <w:pPr>
        <w:pStyle w:val="a4"/>
        <w:rPr>
          <w:rtl/>
        </w:rPr>
      </w:pPr>
      <w:r>
        <w:rPr>
          <w:b/>
          <w:bCs/>
          <w:rtl/>
        </w:rPr>
        <w:t>"רחוב"</w:t>
      </w:r>
      <w:r>
        <w:rPr>
          <w:rtl/>
        </w:rPr>
        <w:t xml:space="preserve"> - דרך כהגדרתה בפקודת התעבורה, הנמצאת בתחום המועצה, לרבות חלק מרחוב;</w:t>
      </w:r>
    </w:p>
    <w:p w:rsidR="00000000" w:rsidRDefault="00B74A30">
      <w:pPr>
        <w:pStyle w:val="a4"/>
        <w:rPr>
          <w:rtl/>
        </w:rPr>
      </w:pPr>
      <w:r>
        <w:rPr>
          <w:b/>
          <w:bCs/>
          <w:rtl/>
        </w:rPr>
        <w:t>"רכב"</w:t>
      </w:r>
      <w:r>
        <w:rPr>
          <w:rtl/>
        </w:rPr>
        <w:t xml:space="preserve"> - כ</w:t>
      </w:r>
      <w:r>
        <w:rPr>
          <w:rtl/>
        </w:rPr>
        <w:t>הגדרתו בפקודת התעבורה, למעט אופניים, כולל רכב ממונע וציוד חקלאי;</w:t>
      </w:r>
    </w:p>
    <w:p w:rsidR="00000000" w:rsidRDefault="00B74A30">
      <w:pPr>
        <w:pStyle w:val="a4"/>
        <w:rPr>
          <w:rtl/>
        </w:rPr>
      </w:pPr>
      <w:r>
        <w:rPr>
          <w:b/>
          <w:bCs/>
          <w:rtl/>
        </w:rPr>
        <w:t xml:space="preserve">"תמרור" </w:t>
      </w:r>
      <w:r>
        <w:rPr>
          <w:rtl/>
        </w:rPr>
        <w:t>- כהגדרתו בתקנות התעבורה;</w:t>
      </w:r>
    </w:p>
    <w:p w:rsidR="00000000" w:rsidRDefault="00B74A30">
      <w:pPr>
        <w:pStyle w:val="a4"/>
        <w:rPr>
          <w:rtl/>
        </w:rPr>
      </w:pPr>
      <w:r>
        <w:rPr>
          <w:b/>
          <w:bCs/>
          <w:rtl/>
        </w:rPr>
        <w:t>"ציוד חקלאי"</w:t>
      </w:r>
      <w:r>
        <w:rPr>
          <w:rtl/>
        </w:rPr>
        <w:t xml:space="preserve"> - כולל עגלות פורקות מזון לרפתות.</w:t>
      </w:r>
    </w:p>
    <w:p w:rsidR="00000000" w:rsidRDefault="00B74A30">
      <w:pPr>
        <w:pStyle w:val="af0"/>
        <w:ind w:left="618" w:right="0"/>
      </w:pPr>
      <w:r>
        <w:rPr>
          <w:rtl/>
        </w:rPr>
        <w:t>סמכות להסדיר חניית רכב</w:t>
      </w:r>
    </w:p>
    <w:p w:rsidR="00000000" w:rsidRDefault="00B74A30">
      <w:pPr>
        <w:pStyle w:val="af1"/>
      </w:pPr>
      <w:r>
        <w:rPr>
          <w:bCs/>
          <w:rtl/>
        </w:rPr>
        <w:t xml:space="preserve">2. </w:t>
      </w:r>
      <w:r>
        <w:rPr>
          <w:bCs/>
          <w:rtl/>
        </w:rPr>
        <w:tab/>
      </w:r>
      <w:r>
        <w:rPr>
          <w:bCs/>
          <w:rtl/>
        </w:rPr>
        <w:tab/>
      </w:r>
      <w:r>
        <w:rPr>
          <w:rtl/>
        </w:rPr>
        <w:t>בהסכמת המפקח על התעבורה, ולאחר התייעצות עם מפקד המשטרה ועם הנהלת הישוב שבתחום המועצ</w:t>
      </w:r>
      <w:r>
        <w:rPr>
          <w:rtl/>
        </w:rPr>
        <w:t>ה, רשאי ראש המועצה לאסור או להגביל את העמדתו או חנייתו של רכב או סוג מסוים של רכב, וכן לקבוע את הימים, השעות והתקופות שבהם מותרת החניה ואת מספר כלי הרכב המותר בחניה בבת אחת באותו מקום.</w:t>
      </w:r>
    </w:p>
    <w:p w:rsidR="00000000" w:rsidRDefault="00B74A30">
      <w:pPr>
        <w:pStyle w:val="af0"/>
        <w:ind w:left="618" w:right="0"/>
      </w:pPr>
      <w:r>
        <w:rPr>
          <w:rtl/>
        </w:rPr>
        <w:t>מקום חניה מוסדר</w:t>
      </w:r>
    </w:p>
    <w:p w:rsidR="00000000" w:rsidRDefault="00B74A30">
      <w:pPr>
        <w:pStyle w:val="af1"/>
      </w:pPr>
      <w:r>
        <w:rPr>
          <w:bCs/>
          <w:rtl/>
        </w:rPr>
        <w:t xml:space="preserve">3. </w:t>
      </w:r>
      <w:r>
        <w:rPr>
          <w:bCs/>
          <w:rtl/>
        </w:rPr>
        <w:tab/>
      </w:r>
      <w:r>
        <w:rPr>
          <w:bCs/>
          <w:rtl/>
        </w:rPr>
        <w:tab/>
      </w:r>
      <w:r>
        <w:t>)</w:t>
      </w:r>
      <w:r>
        <w:rPr>
          <w:rtl/>
        </w:rPr>
        <w:t>א</w:t>
      </w:r>
      <w:r>
        <w:t>(</w:t>
      </w:r>
      <w:r>
        <w:rPr>
          <w:rtl/>
        </w:rPr>
        <w:t xml:space="preserve"> ראש המועצה רשאי, לאחר התייעצות עם מפקד המשטרה,</w:t>
      </w:r>
      <w:r>
        <w:rPr>
          <w:rtl/>
        </w:rPr>
        <w:t xml:space="preserve"> לקבוע מקום חניה כמקום חניה מוסדר ולהסדיר את החניה בו על ידי סדרן.</w:t>
      </w:r>
    </w:p>
    <w:p w:rsidR="00000000" w:rsidRDefault="00B74A30">
      <w:pPr>
        <w:pStyle w:val="12"/>
        <w:rPr>
          <w:rtl/>
        </w:rPr>
      </w:pPr>
      <w:r>
        <w:t>)</w:t>
      </w:r>
      <w:r>
        <w:rPr>
          <w:rtl/>
        </w:rPr>
        <w:t>ב</w:t>
      </w:r>
      <w:r>
        <w:t>(</w:t>
      </w:r>
      <w:r>
        <w:rPr>
          <w:rtl/>
        </w:rPr>
        <w:t xml:space="preserve">  סודרה החניה על ידי הסדרן, יציית אדם, המעמיד רכב במקום חניה, להוראות הסדרן בכל הקשור בחניה.</w:t>
      </w:r>
    </w:p>
    <w:p w:rsidR="00000000" w:rsidRDefault="00B74A30">
      <w:pPr>
        <w:pStyle w:val="12"/>
        <w:rPr>
          <w:rtl/>
        </w:rPr>
      </w:pPr>
      <w:r>
        <w:rPr>
          <w:rtl/>
        </w:rPr>
        <w:t xml:space="preserve">(ג) הותקנו במקום חניה תמרורים, סימונים וכיוצא בהם, יעמיד אדם, המעמיד רכב באותו מקום, את הרכב </w:t>
      </w:r>
      <w:r>
        <w:rPr>
          <w:rtl/>
        </w:rPr>
        <w:t>בתוך אחד השטחים המסומנים לשם כך בהתאם להוראות שעל השלטים, הסימנים, התמרורים וכיוצא בהם.</w:t>
      </w:r>
    </w:p>
    <w:p w:rsidR="00000000" w:rsidRDefault="00B74A30">
      <w:pPr>
        <w:pStyle w:val="af0"/>
        <w:ind w:left="618" w:right="0"/>
      </w:pPr>
      <w:r>
        <w:rPr>
          <w:rtl/>
        </w:rPr>
        <w:t>איסור חניה</w:t>
      </w:r>
    </w:p>
    <w:p w:rsidR="00000000" w:rsidRDefault="00B74A30">
      <w:pPr>
        <w:pStyle w:val="af1"/>
        <w:rPr>
          <w:rtl/>
        </w:rPr>
      </w:pPr>
      <w:r>
        <w:rPr>
          <w:bCs/>
          <w:rtl/>
        </w:rPr>
        <w:t xml:space="preserve">4. </w:t>
      </w:r>
      <w:r>
        <w:rPr>
          <w:bCs/>
          <w:rtl/>
        </w:rPr>
        <w:tab/>
      </w:r>
      <w:r>
        <w:rPr>
          <w:bCs/>
          <w:rtl/>
        </w:rPr>
        <w:tab/>
      </w:r>
      <w:r>
        <w:rPr>
          <w:rtl/>
        </w:rPr>
        <w:t>(א) לא יעמיד אדם ולא יחנה רכב ברחוב, במקום שהחניה נאסרה בידי ראש המועצה לפי סעיף 2, והאיסור מסומן בתמרור בהתאם להודעת התעבורה (קביעת תמרורים), התש"ל1970</w:t>
      </w:r>
      <w:r>
        <w:rPr>
          <w:rtl/>
        </w:rPr>
        <w:t>- (להלן - הודעת התעבורה), אלא לזמן הדרוש להעלאת נוסעים או להורדתם או לטעינה או לפריקה מיידית ובלתי פוסקת.</w:t>
      </w:r>
    </w:p>
    <w:p w:rsidR="00000000" w:rsidRDefault="00B74A30">
      <w:pPr>
        <w:pStyle w:val="12"/>
        <w:rPr>
          <w:rtl/>
        </w:rPr>
      </w:pPr>
      <w:r>
        <w:rPr>
          <w:rtl/>
        </w:rPr>
        <w:t xml:space="preserve">(ב) לא יעמיד אדם ולא יחנה רכב במקום חניה, אלא - </w:t>
      </w:r>
    </w:p>
    <w:p w:rsidR="00000000" w:rsidRDefault="00B74A30">
      <w:pPr>
        <w:pStyle w:val="2"/>
        <w:ind w:left="998" w:right="0"/>
        <w:rPr>
          <w:rtl/>
        </w:rPr>
      </w:pPr>
      <w:r>
        <w:rPr>
          <w:rtl/>
        </w:rPr>
        <w:t>(1) אם כן הרכב שייך לאחד הסוגים שחנייתם שם הותרה בידי ראש המועצה;</w:t>
      </w:r>
    </w:p>
    <w:p w:rsidR="00000000" w:rsidRDefault="00B74A30">
      <w:pPr>
        <w:pStyle w:val="2"/>
        <w:ind w:left="998" w:right="0"/>
        <w:rPr>
          <w:rtl/>
        </w:rPr>
      </w:pPr>
      <w:r>
        <w:rPr>
          <w:rtl/>
        </w:rPr>
        <w:t>(2) בתוך אחד מהשטחים המסומנים בקווי</w:t>
      </w:r>
      <w:r>
        <w:rPr>
          <w:rtl/>
        </w:rPr>
        <w:t xml:space="preserve"> צבע או באופן אחר - אם יש שטחים מסומנים כאלה;</w:t>
      </w:r>
    </w:p>
    <w:p w:rsidR="00000000" w:rsidRDefault="00B74A30">
      <w:pPr>
        <w:pStyle w:val="2"/>
        <w:ind w:left="998" w:right="0"/>
        <w:rPr>
          <w:rtl/>
        </w:rPr>
      </w:pPr>
      <w:r>
        <w:rPr>
          <w:rtl/>
        </w:rPr>
        <w:t>(3) בזמן ולמשך התקופה שבהם הותרה החניה במקום;</w:t>
      </w:r>
    </w:p>
    <w:p w:rsidR="00000000" w:rsidRDefault="00B74A30">
      <w:pPr>
        <w:pStyle w:val="2"/>
        <w:ind w:left="998" w:right="0"/>
        <w:rPr>
          <w:rtl/>
        </w:rPr>
      </w:pPr>
      <w:r>
        <w:rPr>
          <w:rtl/>
        </w:rPr>
        <w:t>(4) כשאין מקום החניה תפוס ברכב במספר שנקבע כמותר לחניה בבת אחת.</w:t>
      </w:r>
    </w:p>
    <w:p w:rsidR="00000000" w:rsidRDefault="00B74A30">
      <w:pPr>
        <w:pStyle w:val="af0"/>
        <w:ind w:left="618" w:right="0"/>
      </w:pPr>
      <w:r>
        <w:rPr>
          <w:rtl/>
        </w:rPr>
        <w:t>רכב שנתקלקל</w:t>
      </w:r>
    </w:p>
    <w:p w:rsidR="00000000" w:rsidRDefault="00B74A30">
      <w:pPr>
        <w:pStyle w:val="af1"/>
        <w:rPr>
          <w:rtl/>
        </w:rPr>
      </w:pPr>
      <w:r>
        <w:rPr>
          <w:bCs/>
          <w:rtl/>
        </w:rPr>
        <w:t xml:space="preserve">5. </w:t>
      </w:r>
      <w:r>
        <w:rPr>
          <w:bCs/>
          <w:rtl/>
        </w:rPr>
        <w:tab/>
      </w:r>
      <w:r>
        <w:rPr>
          <w:bCs/>
          <w:rtl/>
        </w:rPr>
        <w:tab/>
      </w:r>
      <w:r>
        <w:rPr>
          <w:rtl/>
        </w:rPr>
        <w:t>לא יעמיד אדם ברחוב רכב שנתקלל קלקול המונע המשכת נסיעה, אלא סמוך, ככל האפשר, לשפה הי</w:t>
      </w:r>
      <w:r>
        <w:rPr>
          <w:rtl/>
        </w:rPr>
        <w:t>מנית של צד הרחוב המיועד לתנועת רכב, ואלא לשם תיקונים הכרחיים להמשכת הנסיעה, שיש לעשותם בו במקום או עד שיועבר הרכב למקום תיקונו, ובלבד שהרכב יתוקן או יועבר ללא דיחוי.</w:t>
      </w:r>
    </w:p>
    <w:p w:rsidR="00000000" w:rsidRDefault="00B74A30">
      <w:pPr>
        <w:pStyle w:val="af0"/>
        <w:ind w:left="618" w:right="0"/>
      </w:pPr>
      <w:r>
        <w:rPr>
          <w:rtl/>
        </w:rPr>
        <w:t>מוניות</w:t>
      </w:r>
    </w:p>
    <w:p w:rsidR="00000000" w:rsidRDefault="00B74A30">
      <w:pPr>
        <w:pStyle w:val="af1"/>
        <w:rPr>
          <w:rtl/>
        </w:rPr>
      </w:pPr>
      <w:r>
        <w:rPr>
          <w:bCs/>
          <w:rtl/>
        </w:rPr>
        <w:lastRenderedPageBreak/>
        <w:t xml:space="preserve">6. </w:t>
      </w:r>
      <w:r>
        <w:rPr>
          <w:bCs/>
          <w:rtl/>
        </w:rPr>
        <w:tab/>
      </w:r>
      <w:r>
        <w:rPr>
          <w:bCs/>
          <w:rtl/>
        </w:rPr>
        <w:tab/>
      </w:r>
      <w:r>
        <w:rPr>
          <w:rtl/>
        </w:rPr>
        <w:t>(א) לא יחנה אדם מונית במקום חניה שנקבע כתחנת מוניות, אלא על פי היתר למקום החני</w:t>
      </w:r>
      <w:r>
        <w:rPr>
          <w:rtl/>
        </w:rPr>
        <w:t>ה מאת ראש המועצה ובהתאם לתנאי ההיתר.</w:t>
      </w:r>
    </w:p>
    <w:p w:rsidR="00000000" w:rsidRDefault="00B74A30">
      <w:pPr>
        <w:pStyle w:val="12"/>
        <w:rPr>
          <w:rtl/>
        </w:rPr>
      </w:pPr>
      <w:r>
        <w:rPr>
          <w:rtl/>
        </w:rPr>
        <w:t>(ב) המבקש לקבל היתר כאמור יגיש בקשה לראש המועצה והוא רשאי לתיתו או לסרב לתיתו, לבטלו או להתלותו, וכן לקבוע בו תנאים, להוסיף עליהם, לגרוע מהם, לשנותם או לבטלם.</w:t>
      </w:r>
    </w:p>
    <w:p w:rsidR="00000000" w:rsidRDefault="00B74A30">
      <w:pPr>
        <w:pStyle w:val="12"/>
        <w:rPr>
          <w:rtl/>
        </w:rPr>
      </w:pPr>
      <w:r>
        <w:rPr>
          <w:rtl/>
        </w:rPr>
        <w:t>(ג) היתר כאמור יהיה ערוך בטופס שיקבע ראש המועצה בהסכמת המפקח</w:t>
      </w:r>
      <w:r>
        <w:rPr>
          <w:rtl/>
        </w:rPr>
        <w:t xml:space="preserve"> על התעבורה.</w:t>
      </w:r>
    </w:p>
    <w:p w:rsidR="00000000" w:rsidRDefault="00B74A30">
      <w:pPr>
        <w:pStyle w:val="12"/>
        <w:rPr>
          <w:rtl/>
        </w:rPr>
      </w:pPr>
      <w:r>
        <w:rPr>
          <w:rtl/>
        </w:rPr>
        <w:t>(ד) תוקפו של היתר כאמור יפקע ב31- בדצמבר שלאחר נתינתו.</w:t>
      </w:r>
    </w:p>
    <w:p w:rsidR="00000000" w:rsidRDefault="00B74A30">
      <w:pPr>
        <w:pStyle w:val="12"/>
        <w:rPr>
          <w:rtl/>
        </w:rPr>
      </w:pPr>
      <w:r>
        <w:rPr>
          <w:rtl/>
        </w:rPr>
        <w:t>(ה) החליטה המועצה לתת היתר, ישלם המבקש למועצה, לפני קבלתו, אגרה בסך 260 שקלים חדשים לשנה, לכל מונית שחנייתה מותרת לפי ההיתר; ניתן ההיתר לאחר 30 ביוני בשנה פלונית, תשולם מחצית האגרה.</w:t>
      </w:r>
    </w:p>
    <w:p w:rsidR="00000000" w:rsidRDefault="00B74A30">
      <w:pPr>
        <w:pStyle w:val="12"/>
        <w:rPr>
          <w:rtl/>
        </w:rPr>
      </w:pPr>
      <w:r>
        <w:rPr>
          <w:rtl/>
        </w:rPr>
        <w:t>(ו) נה</w:t>
      </w:r>
      <w:r>
        <w:rPr>
          <w:rtl/>
        </w:rPr>
        <w:t>ג מונית שלגביה ניתן היתר כאמור, יחזיק את ההיתר במונית ויראהו לשוטר או לפקח על פי דרישתו.</w:t>
      </w:r>
    </w:p>
    <w:p w:rsidR="00000000" w:rsidRDefault="00B74A30">
      <w:pPr>
        <w:pStyle w:val="12"/>
        <w:rPr>
          <w:rtl/>
        </w:rPr>
      </w:pPr>
      <w:r>
        <w:rPr>
          <w:rtl/>
        </w:rPr>
        <w:t xml:space="preserve">(ז) לא יעמיד אדם ולא יחנה מונית ברחוב לזמן העולה על הדרוש להעלאת נוסעים או להורדתם, אלא - </w:t>
      </w:r>
    </w:p>
    <w:p w:rsidR="00000000" w:rsidRDefault="00B74A30">
      <w:pPr>
        <w:pStyle w:val="2"/>
        <w:ind w:left="998" w:right="0"/>
        <w:rPr>
          <w:rtl/>
        </w:rPr>
      </w:pPr>
      <w:r>
        <w:rPr>
          <w:rtl/>
        </w:rPr>
        <w:t>(1) אם כן המונית מוזמנת מאת נוסע ועומדת לרשותו, והעמדתה או חנייתה היא לשם המ</w:t>
      </w:r>
      <w:r>
        <w:rPr>
          <w:rtl/>
        </w:rPr>
        <w:t>תנה לאותו נוסע; או</w:t>
      </w:r>
    </w:p>
    <w:p w:rsidR="00000000" w:rsidRDefault="00B74A30">
      <w:pPr>
        <w:pStyle w:val="2"/>
        <w:ind w:left="998" w:right="0"/>
        <w:rPr>
          <w:rtl/>
        </w:rPr>
      </w:pPr>
      <w:r>
        <w:rPr>
          <w:rtl/>
        </w:rPr>
        <w:t>(2) אם לא הוצעה הסעה במונית.</w:t>
      </w:r>
    </w:p>
    <w:p w:rsidR="00000000" w:rsidRDefault="00B74A30">
      <w:pPr>
        <w:pStyle w:val="af0"/>
        <w:ind w:left="618" w:right="0"/>
      </w:pPr>
      <w:r>
        <w:rPr>
          <w:rtl/>
        </w:rPr>
        <w:t>אוטובוסים</w:t>
      </w:r>
    </w:p>
    <w:p w:rsidR="00000000" w:rsidRDefault="00B74A30">
      <w:pPr>
        <w:pStyle w:val="af1"/>
        <w:rPr>
          <w:rtl/>
        </w:rPr>
      </w:pPr>
      <w:r>
        <w:rPr>
          <w:bCs/>
          <w:rtl/>
        </w:rPr>
        <w:t xml:space="preserve">7. </w:t>
      </w:r>
      <w:r>
        <w:rPr>
          <w:bCs/>
          <w:rtl/>
        </w:rPr>
        <w:tab/>
      </w:r>
      <w:r>
        <w:rPr>
          <w:bCs/>
          <w:rtl/>
        </w:rPr>
        <w:tab/>
      </w:r>
      <w:r>
        <w:rPr>
          <w:rtl/>
        </w:rPr>
        <w:t>(א) לא יעמיד אדם אוטובוס ברחוב אלא במקום שנקבע בתמרור כתחנת אוטובוסים וכפי שנקבע בהודעה, הנושא עליו את מספרו של קו האוטובוס או בהודעה שהתחנה מיועדת להורדת נוסעים בלבד.</w:t>
      </w:r>
    </w:p>
    <w:p w:rsidR="00000000" w:rsidRDefault="00B74A30">
      <w:pPr>
        <w:pStyle w:val="12"/>
        <w:rPr>
          <w:rtl/>
        </w:rPr>
      </w:pPr>
      <w:r>
        <w:rPr>
          <w:rtl/>
        </w:rPr>
        <w:t xml:space="preserve">(ב) לא יעמיד אדם אוטובוס </w:t>
      </w:r>
      <w:r>
        <w:rPr>
          <w:rtl/>
        </w:rPr>
        <w:t>במקום כאמור בסעיף קטן (א) לזמן העולה על הזמן הדרוש כדי להוריד או להעלות נוסעים; הוראה זו אינה חלה לגבי תחנה סופית.</w:t>
      </w:r>
    </w:p>
    <w:p w:rsidR="00000000" w:rsidRDefault="00B74A30">
      <w:pPr>
        <w:pStyle w:val="12"/>
        <w:rPr>
          <w:rtl/>
        </w:rPr>
      </w:pPr>
      <w:r>
        <w:rPr>
          <w:rtl/>
        </w:rPr>
        <w:t>(ג) לא יחנה אדם אוטובוס בתחנה סופית מעל לזמן הנקוב בתמרור וכל עוד היא תפוסה במספר האוטובוס הנקוב בתמרור.</w:t>
      </w:r>
    </w:p>
    <w:p w:rsidR="00000000" w:rsidRDefault="00B74A30">
      <w:pPr>
        <w:pStyle w:val="af0"/>
        <w:ind w:left="618" w:right="0"/>
      </w:pPr>
      <w:r>
        <w:rPr>
          <w:rtl/>
        </w:rPr>
        <w:t>תמרורים</w:t>
      </w:r>
    </w:p>
    <w:p w:rsidR="00000000" w:rsidRDefault="00B74A30">
      <w:pPr>
        <w:pStyle w:val="af1"/>
        <w:rPr>
          <w:rtl/>
        </w:rPr>
      </w:pPr>
      <w:r>
        <w:rPr>
          <w:bCs/>
          <w:rtl/>
        </w:rPr>
        <w:t xml:space="preserve">8. </w:t>
      </w:r>
      <w:r>
        <w:rPr>
          <w:bCs/>
          <w:rtl/>
        </w:rPr>
        <w:tab/>
      </w:r>
      <w:r>
        <w:rPr>
          <w:bCs/>
          <w:rtl/>
        </w:rPr>
        <w:tab/>
      </w:r>
      <w:r>
        <w:rPr>
          <w:rtl/>
        </w:rPr>
        <w:t>ראש המועצה יציין כל מקו</w:t>
      </w:r>
      <w:r>
        <w:rPr>
          <w:rtl/>
        </w:rPr>
        <w:t>ם חניה, וכן איסור, הגבלה או הסדר, שנקבעו לפי סעיפים 2 או 3, על ידי תמרור מתאים שנקבע בהודעת התעבורה.</w:t>
      </w:r>
    </w:p>
    <w:p w:rsidR="00000000" w:rsidRDefault="00B74A30">
      <w:pPr>
        <w:pStyle w:val="af0"/>
        <w:ind w:left="618" w:right="0"/>
      </w:pPr>
      <w:r>
        <w:rPr>
          <w:rtl/>
        </w:rPr>
        <w:t>הקצאת מקום חניה לרכב</w:t>
      </w:r>
    </w:p>
    <w:p w:rsidR="00000000" w:rsidRDefault="00B74A30">
      <w:pPr>
        <w:pStyle w:val="af1"/>
        <w:rPr>
          <w:rtl/>
        </w:rPr>
      </w:pPr>
      <w:r>
        <w:rPr>
          <w:bCs/>
          <w:rtl/>
        </w:rPr>
        <w:t xml:space="preserve">9. </w:t>
      </w:r>
      <w:r>
        <w:rPr>
          <w:bCs/>
          <w:rtl/>
        </w:rPr>
        <w:tab/>
      </w:r>
      <w:r>
        <w:rPr>
          <w:bCs/>
          <w:rtl/>
        </w:rPr>
        <w:tab/>
      </w:r>
      <w:r>
        <w:rPr>
          <w:rtl/>
        </w:rPr>
        <w:t>(א) ראש המועצה רשאי לציין על גבי תמרור או בלוח שייקבע סמוך לו, את מספרי הרישום וסימני הרישום של כלי הרכב המותרים לעמוד במקום חניה</w:t>
      </w:r>
      <w:r>
        <w:rPr>
          <w:rtl/>
        </w:rPr>
        <w:t xml:space="preserve"> מסוים.</w:t>
      </w:r>
    </w:p>
    <w:p w:rsidR="00000000" w:rsidRDefault="00B74A30">
      <w:pPr>
        <w:pStyle w:val="12"/>
        <w:rPr>
          <w:rtl/>
        </w:rPr>
      </w:pPr>
      <w:r>
        <w:rPr>
          <w:rtl/>
        </w:rPr>
        <w:t>(ב) ציין ראש המועצה כאמור בסעיף קטן (א), לא יעמיד אדם ולא יחנה באותו מקום חניה, רכב שמספר הרישום וסימן הרישום שלו אינם מצוינים כאמור.</w:t>
      </w:r>
    </w:p>
    <w:p w:rsidR="00000000" w:rsidRDefault="00B74A30">
      <w:pPr>
        <w:pStyle w:val="af0"/>
        <w:ind w:left="618" w:right="0"/>
      </w:pPr>
      <w:r>
        <w:rPr>
          <w:rtl/>
        </w:rPr>
        <w:t>סמכויות</w:t>
      </w:r>
    </w:p>
    <w:p w:rsidR="00000000" w:rsidRDefault="00B74A30">
      <w:pPr>
        <w:pStyle w:val="af1"/>
        <w:rPr>
          <w:rtl/>
        </w:rPr>
      </w:pPr>
      <w:r>
        <w:rPr>
          <w:bCs/>
          <w:rtl/>
        </w:rPr>
        <w:t xml:space="preserve">10. </w:t>
      </w:r>
      <w:r>
        <w:rPr>
          <w:bCs/>
          <w:rtl/>
        </w:rPr>
        <w:tab/>
      </w:r>
      <w:r>
        <w:rPr>
          <w:bCs/>
          <w:rtl/>
        </w:rPr>
        <w:tab/>
      </w:r>
      <w:r>
        <w:rPr>
          <w:rtl/>
        </w:rPr>
        <w:t>(א) פקח רשאי, בכל עת, להיכנס למקום חניה מוסדר כדי לברר אם קוימו הוראות חוק עזר זה.</w:t>
      </w:r>
    </w:p>
    <w:p w:rsidR="00000000" w:rsidRDefault="00B74A30">
      <w:pPr>
        <w:pStyle w:val="12"/>
        <w:rPr>
          <w:rtl/>
        </w:rPr>
      </w:pPr>
      <w:r>
        <w:rPr>
          <w:rtl/>
        </w:rPr>
        <w:t xml:space="preserve">(ב) לא יפריע אדם </w:t>
      </w:r>
      <w:r>
        <w:rPr>
          <w:rtl/>
        </w:rPr>
        <w:t>לפקח ולא ימנע אותו מלהשתמש בסמכויותיו לפי סעיף קטן (א).</w:t>
      </w:r>
    </w:p>
    <w:p w:rsidR="00000000" w:rsidRDefault="00B74A30">
      <w:pPr>
        <w:pStyle w:val="a9"/>
        <w:rPr>
          <w:rtl/>
        </w:rPr>
      </w:pPr>
      <w:r>
        <w:rPr>
          <w:rtl/>
        </w:rPr>
        <w:t>ט"ו בכסלו התשנ"ח (14 בדצמבר 1997)</w:t>
      </w:r>
      <w:r>
        <w:rPr>
          <w:rtl/>
        </w:rPr>
        <w:tab/>
      </w:r>
      <w:r>
        <w:rPr>
          <w:rtl/>
        </w:rPr>
        <w:tab/>
      </w:r>
      <w:r>
        <w:rPr>
          <w:rtl/>
        </w:rPr>
        <w:tab/>
      </w:r>
    </w:p>
    <w:p w:rsidR="00000000" w:rsidRDefault="00B74A30">
      <w:pPr>
        <w:pStyle w:val="ac"/>
        <w:ind w:left="5052" w:right="0"/>
        <w:rPr>
          <w:rtl/>
        </w:rPr>
      </w:pPr>
      <w:r>
        <w:rPr>
          <w:rtl/>
        </w:rPr>
        <w:tab/>
      </w:r>
      <w:r>
        <w:rPr>
          <w:rtl/>
        </w:rPr>
        <w:tab/>
      </w:r>
      <w:r>
        <w:rPr>
          <w:rtl/>
        </w:rPr>
        <w:tab/>
      </w:r>
      <w:r>
        <w:rPr>
          <w:rtl/>
        </w:rPr>
        <w:tab/>
      </w:r>
    </w:p>
    <w:p w:rsidR="00000000" w:rsidRDefault="00B74A30">
      <w:pPr>
        <w:pStyle w:val="ac"/>
        <w:ind w:left="5052" w:right="0"/>
        <w:rPr>
          <w:rtl/>
        </w:rPr>
      </w:pPr>
      <w:r>
        <w:rPr>
          <w:rtl/>
        </w:rPr>
        <w:t>בני גורפינקל</w:t>
      </w:r>
    </w:p>
    <w:p w:rsidR="00000000" w:rsidRDefault="00B74A30">
      <w:pPr>
        <w:pStyle w:val="ac"/>
        <w:ind w:left="5052" w:right="0"/>
        <w:rPr>
          <w:rtl/>
        </w:rPr>
      </w:pPr>
      <w:r>
        <w:rPr>
          <w:rtl/>
        </w:rPr>
        <w:t>ראש המועצה האזורית גליל תחתון</w:t>
      </w:r>
    </w:p>
    <w:p w:rsidR="00000000" w:rsidRDefault="00B74A30">
      <w:pPr>
        <w:pStyle w:val="12"/>
        <w:ind w:firstLine="0"/>
        <w:rPr>
          <w:rtl/>
        </w:rPr>
      </w:pPr>
      <w:r>
        <w:rPr>
          <w:rtl/>
        </w:rPr>
        <w:t xml:space="preserve">   אני מסכים.</w:t>
      </w:r>
      <w:r>
        <w:rPr>
          <w:rtl/>
        </w:rPr>
        <w:tab/>
      </w:r>
      <w:r>
        <w:rPr>
          <w:rtl/>
        </w:rPr>
        <w:tab/>
        <w:t xml:space="preserve">                                 אני מסכים.</w:t>
      </w:r>
    </w:p>
    <w:p w:rsidR="00000000" w:rsidRDefault="00B74A30">
      <w:pPr>
        <w:pStyle w:val="ac"/>
        <w:ind w:right="0"/>
        <w:jc w:val="left"/>
        <w:rPr>
          <w:rtl/>
        </w:rPr>
      </w:pPr>
      <w:r>
        <w:rPr>
          <w:rtl/>
        </w:rPr>
        <w:t xml:space="preserve">   יצחק לוי</w:t>
      </w:r>
      <w:r>
        <w:rPr>
          <w:rtl/>
        </w:rPr>
        <w:tab/>
      </w:r>
      <w:r>
        <w:rPr>
          <w:rtl/>
        </w:rPr>
        <w:tab/>
        <w:t xml:space="preserve">                                 אליהו סויס</w:t>
      </w:r>
      <w:r>
        <w:rPr>
          <w:rtl/>
        </w:rPr>
        <w:t>ה</w:t>
      </w:r>
    </w:p>
    <w:p w:rsidR="00000000" w:rsidRDefault="00B74A30">
      <w:pPr>
        <w:pStyle w:val="ac"/>
        <w:ind w:right="0"/>
        <w:jc w:val="left"/>
        <w:rPr>
          <w:rtl/>
        </w:rPr>
      </w:pPr>
      <w:r>
        <w:rPr>
          <w:rtl/>
        </w:rPr>
        <w:t>שר התחבורה</w:t>
      </w:r>
      <w:r>
        <w:rPr>
          <w:rtl/>
        </w:rPr>
        <w:tab/>
      </w:r>
      <w:r>
        <w:rPr>
          <w:rtl/>
        </w:rPr>
        <w:tab/>
        <w:t xml:space="preserve">                                  שר הפנים</w:t>
      </w:r>
    </w:p>
    <w:p w:rsidR="00000000" w:rsidRDefault="00B74A30">
      <w:pPr>
        <w:pStyle w:val="12"/>
      </w:pPr>
    </w:p>
    <w:p w:rsidR="00000000" w:rsidRDefault="00B74A30">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4A30">
      <w:pPr>
        <w:spacing w:after="0" w:line="240" w:lineRule="auto"/>
      </w:pPr>
      <w:r>
        <w:separator/>
      </w:r>
    </w:p>
  </w:endnote>
  <w:endnote w:type="continuationSeparator" w:id="0">
    <w:p w:rsidR="00000000" w:rsidRDefault="00B7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4A30">
    <w:pPr>
      <w:pStyle w:val="af9"/>
      <w:spacing w:line="240" w:lineRule="exact"/>
      <w:rPr>
        <w:rStyle w:val="afe"/>
        <w:b w:val="0"/>
        <w:bCs/>
        <w:szCs w:val="22"/>
        <w:rtl/>
      </w:rPr>
    </w:pPr>
    <w:r>
      <w:rPr>
        <w:color w:val="0000FF"/>
        <w:sz w:val="24"/>
        <w:rtl/>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e"/>
        <w:rtl/>
      </w:rPr>
      <w:fldChar w:fldCharType="begin"/>
    </w:r>
    <w:r>
      <w:rPr>
        <w:rStyle w:val="afe"/>
        <w:rtl/>
      </w:rPr>
      <w:instrText xml:space="preserve"> </w:instrText>
    </w:r>
    <w:r>
      <w:rPr>
        <w:rStyle w:val="afe"/>
      </w:rPr>
      <w:instrText>PAGE</w:instrText>
    </w:r>
    <w:r>
      <w:rPr>
        <w:rStyle w:val="afe"/>
        <w:rtl/>
      </w:rPr>
      <w:instrText xml:space="preserve"> </w:instrText>
    </w:r>
    <w:r>
      <w:rPr>
        <w:rStyle w:val="afe"/>
        <w:rtl/>
      </w:rPr>
      <w:fldChar w:fldCharType="separate"/>
    </w:r>
    <w:r>
      <w:rPr>
        <w:rStyle w:val="afe"/>
        <w:noProof/>
        <w:rtl/>
      </w:rPr>
      <w:t>1</w:t>
    </w:r>
    <w:r>
      <w:rPr>
        <w:rStyle w:val="afe"/>
        <w:rtl/>
      </w:rPr>
      <w:fldChar w:fldCharType="end"/>
    </w:r>
    <w:r>
      <w:rPr>
        <w:rStyle w:val="afe"/>
        <w:b w:val="0"/>
        <w:bCs/>
        <w:szCs w:val="22"/>
        <w:rtl/>
      </w:rPr>
      <w:tab/>
    </w:r>
  </w:p>
  <w:p w:rsidR="00000000" w:rsidRDefault="00B74A30">
    <w:pPr>
      <w:pStyle w:val="af9"/>
      <w:rPr>
        <w:rtl/>
      </w:rPr>
    </w:pPr>
    <w:r>
      <w:rPr>
        <w:rtl/>
      </w:rPr>
      <w:t>עורכים: עו"ד רון דלומי ועו"ד מנשה כ</w:t>
    </w:r>
    <w:r>
      <w:rPr>
        <w:rtl/>
      </w:rPr>
      <w:t>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4A30">
      <w:pPr>
        <w:spacing w:after="0" w:line="240" w:lineRule="auto"/>
      </w:pPr>
      <w:r>
        <w:separator/>
      </w:r>
    </w:p>
  </w:footnote>
  <w:footnote w:type="continuationSeparator" w:id="0">
    <w:p w:rsidR="00000000" w:rsidRDefault="00B7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4A30">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30"/>
    <w:rsid w:val="00B7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69D482-35B7-4C52-8C59-AAEFADBB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A30"/>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B74A3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74A30"/>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customStyle="1" w:styleId="afd">
    <w:name w:val="#טבלאות יישור לימין"/>
    <w:basedOn w:val="a1"/>
    <w:uiPriority w:val="99"/>
    <w:rPr>
      <w:rFonts w:ascii="Times New Roman" w:hAnsi="Times New Roman" w:cs="David"/>
      <w:color w:val="FF0000"/>
      <w:sz w:val="16"/>
      <w:szCs w:val="20"/>
      <w:lang w:bidi="he-IL"/>
    </w:rPr>
  </w:style>
  <w:style w:type="character" w:styleId="afe">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2">
    <w:name w:val="#טבלאות-טקסט ממורכז"/>
    <w:basedOn w:val="a1"/>
    <w:uiPriority w:val="99"/>
    <w:rPr>
      <w:rFonts w:ascii="Times New Roman" w:hAnsi="Times New Roman" w:cs="David"/>
      <w:color w:val="FF0000"/>
      <w:sz w:val="16"/>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4089</Characters>
  <Application>Microsoft Office Word</Application>
  <DocSecurity>0</DocSecurity>
  <Lines>34</Lines>
  <Paragraphs>9</Paragraphs>
  <ScaleCrop>false</ScaleCrop>
  <Company>משפחת דלומי</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לאור-עקיבא (העמדת רכב וחנייתו), התשנ"ד1994-</dc:title>
  <dc:subject/>
  <dc:creator>new1</dc:creator>
  <cp:keywords/>
  <dc:description/>
  <cp:lastModifiedBy>חנן זולדן</cp:lastModifiedBy>
  <cp:revision>2</cp:revision>
  <cp:lastPrinted>2003-05-15T10:35:00Z</cp:lastPrinted>
  <dcterms:created xsi:type="dcterms:W3CDTF">2020-04-02T12:06:00Z</dcterms:created>
  <dcterms:modified xsi:type="dcterms:W3CDTF">2020-04-02T12:06:00Z</dcterms:modified>
</cp:coreProperties>
</file>